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EE4D" w14:textId="4E58803F" w:rsidR="005B2B48" w:rsidRPr="00C838C7" w:rsidRDefault="005B2B48" w:rsidP="003D5B78">
      <w:pPr>
        <w:spacing w:after="0"/>
        <w:jc w:val="both"/>
        <w:rPr>
          <w:rFonts w:eastAsia="Times New Roman"/>
          <w:lang w:eastAsia="cs-CZ"/>
        </w:rPr>
      </w:pPr>
      <w:r w:rsidRPr="00C838C7">
        <w:rPr>
          <w:rFonts w:eastAsia="Times New Roman"/>
          <w:lang w:eastAsia="cs-CZ"/>
        </w:rPr>
        <w:t xml:space="preserve">Příloha č. </w:t>
      </w:r>
      <w:r w:rsidR="00674E63" w:rsidRPr="00C838C7">
        <w:rPr>
          <w:rFonts w:eastAsia="Times New Roman"/>
          <w:lang w:eastAsia="cs-CZ"/>
        </w:rPr>
        <w:t>4</w:t>
      </w:r>
      <w:r w:rsidR="00C838C7" w:rsidRPr="00C838C7">
        <w:rPr>
          <w:rFonts w:eastAsia="Times New Roman"/>
          <w:lang w:eastAsia="cs-CZ"/>
        </w:rPr>
        <w:t xml:space="preserve"> návrh smlouvy o dílo</w:t>
      </w:r>
      <w:r w:rsidR="00960831" w:rsidRPr="00C838C7">
        <w:rPr>
          <w:rFonts w:eastAsia="Times New Roman"/>
          <w:lang w:eastAsia="cs-CZ"/>
        </w:rPr>
        <w:t xml:space="preserve"> </w:t>
      </w:r>
    </w:p>
    <w:p w14:paraId="5881C4FB" w14:textId="77777777" w:rsidR="00960831" w:rsidRPr="00C838C7" w:rsidRDefault="00960831" w:rsidP="003D5B78">
      <w:pPr>
        <w:spacing w:after="0"/>
        <w:jc w:val="both"/>
        <w:rPr>
          <w:rFonts w:eastAsia="Times New Roman"/>
          <w:b/>
          <w:lang w:eastAsia="cs-CZ"/>
        </w:rPr>
      </w:pPr>
    </w:p>
    <w:p w14:paraId="03502396" w14:textId="77777777" w:rsidR="005B2B48" w:rsidRPr="00C838C7" w:rsidRDefault="005B2B48" w:rsidP="003D5B78">
      <w:pPr>
        <w:spacing w:after="0"/>
        <w:rPr>
          <w:i/>
        </w:rPr>
      </w:pPr>
    </w:p>
    <w:p w14:paraId="65DAC994" w14:textId="2FDC0F41" w:rsidR="00CB0E89" w:rsidRPr="00C838C7" w:rsidRDefault="003D5B78" w:rsidP="00CB0E89">
      <w:pPr>
        <w:spacing w:after="0"/>
        <w:ind w:left="705" w:hanging="705"/>
      </w:pPr>
      <w:r w:rsidRPr="00C838C7">
        <w:rPr>
          <w:sz w:val="24"/>
        </w:rPr>
        <w:t>1/</w:t>
      </w:r>
      <w:r w:rsidRPr="00C838C7">
        <w:rPr>
          <w:sz w:val="24"/>
        </w:rPr>
        <w:tab/>
      </w:r>
      <w:r w:rsidR="004A6303" w:rsidRPr="00C838C7">
        <w:rPr>
          <w:rFonts w:cs="Arial"/>
          <w:bCs/>
          <w:color w:val="000000"/>
        </w:rPr>
        <w:t>Střední škola strojírenská a elektrotechnická Brno, příspěvková organizace</w:t>
      </w:r>
    </w:p>
    <w:p w14:paraId="15741AEB" w14:textId="0852D8EC" w:rsidR="00CB0E89" w:rsidRPr="00C838C7" w:rsidRDefault="00CB0E89" w:rsidP="00CB0E89">
      <w:pPr>
        <w:spacing w:after="0"/>
        <w:ind w:firstLine="708"/>
      </w:pPr>
      <w:r w:rsidRPr="00C838C7">
        <w:t>se sídlem:</w:t>
      </w:r>
      <w:r w:rsidR="00F45BA3" w:rsidRPr="00C838C7">
        <w:t xml:space="preserve"> </w:t>
      </w:r>
      <w:r w:rsidR="004A6303" w:rsidRPr="00C838C7">
        <w:rPr>
          <w:rFonts w:cs="Arial"/>
          <w:bCs/>
          <w:color w:val="000000"/>
        </w:rPr>
        <w:t>Trnkova 2482/113, Líšeň, 62800 Brno</w:t>
      </w:r>
    </w:p>
    <w:p w14:paraId="22396F48" w14:textId="676E8CB7" w:rsidR="00F31BFC" w:rsidRPr="00C838C7" w:rsidRDefault="00CB0E89" w:rsidP="00CB0E89">
      <w:pPr>
        <w:spacing w:after="0"/>
        <w:ind w:firstLine="708"/>
        <w:rPr>
          <w:rFonts w:cs="Arial"/>
          <w:bCs/>
          <w:color w:val="000000"/>
        </w:rPr>
      </w:pPr>
      <w:r w:rsidRPr="00C838C7">
        <w:t>IČ</w:t>
      </w:r>
      <w:r w:rsidR="00F45BA3" w:rsidRPr="00C838C7">
        <w:t xml:space="preserve"> </w:t>
      </w:r>
      <w:r w:rsidR="004A6303" w:rsidRPr="00C838C7">
        <w:rPr>
          <w:rFonts w:cs="Arial"/>
          <w:bCs/>
          <w:color w:val="000000"/>
        </w:rPr>
        <w:t>00380431</w:t>
      </w:r>
    </w:p>
    <w:p w14:paraId="106EE2B1" w14:textId="3B6308A9" w:rsidR="00327B9E" w:rsidRPr="00C838C7" w:rsidRDefault="00327B9E" w:rsidP="00CB0E89">
      <w:pPr>
        <w:spacing w:after="0"/>
        <w:ind w:firstLine="708"/>
        <w:rPr>
          <w:shd w:val="clear" w:color="auto" w:fill="FFFFFF"/>
        </w:rPr>
      </w:pPr>
      <w:r w:rsidRPr="00C838C7">
        <w:rPr>
          <w:rFonts w:cs="Arial"/>
          <w:bCs/>
          <w:color w:val="000000"/>
        </w:rPr>
        <w:t xml:space="preserve">DIČ </w:t>
      </w:r>
      <w:r w:rsidR="004A6303" w:rsidRPr="00C838C7">
        <w:rPr>
          <w:rFonts w:cs="Arial"/>
          <w:bCs/>
          <w:color w:val="000000"/>
        </w:rPr>
        <w:t>CZ00380431</w:t>
      </w:r>
    </w:p>
    <w:p w14:paraId="08FB695C" w14:textId="5493FB46" w:rsidR="00CB0E89" w:rsidRDefault="00CB0E89" w:rsidP="00CB0E89">
      <w:pPr>
        <w:spacing w:after="0"/>
        <w:ind w:firstLine="708"/>
      </w:pPr>
      <w:r w:rsidRPr="00C838C7">
        <w:rPr>
          <w:shd w:val="clear" w:color="auto" w:fill="FFFFFF"/>
        </w:rPr>
        <w:t>z</w:t>
      </w:r>
      <w:r w:rsidR="004D7B9F" w:rsidRPr="00C838C7">
        <w:rPr>
          <w:shd w:val="clear" w:color="auto" w:fill="FFFFFF"/>
        </w:rPr>
        <w:t>ast. ředitelem</w:t>
      </w:r>
      <w:r w:rsidR="00F45BA3" w:rsidRPr="00C838C7">
        <w:rPr>
          <w:shd w:val="clear" w:color="auto" w:fill="FFFFFF"/>
        </w:rPr>
        <w:t xml:space="preserve">: </w:t>
      </w:r>
      <w:r w:rsidR="004A6303" w:rsidRPr="00C838C7">
        <w:t>Ing. Roman Moliš</w:t>
      </w:r>
    </w:p>
    <w:p w14:paraId="3005A5B8" w14:textId="77777777" w:rsidR="00237BFE" w:rsidRPr="00C73BE9" w:rsidRDefault="00237BFE" w:rsidP="00CB0E89">
      <w:pPr>
        <w:spacing w:after="0"/>
        <w:ind w:firstLine="708"/>
        <w:rPr>
          <w:rFonts w:eastAsia="Times New Roman"/>
          <w:lang w:eastAsia="cs-CZ"/>
        </w:rPr>
      </w:pPr>
    </w:p>
    <w:p w14:paraId="63B35FA1" w14:textId="4F6DD2AB" w:rsidR="005B2B48" w:rsidRPr="00C73BE9" w:rsidRDefault="005B2B48" w:rsidP="00CB0E89">
      <w:pPr>
        <w:spacing w:after="0"/>
        <w:ind w:hanging="384"/>
        <w:rPr>
          <w:rFonts w:eastAsia="Times New Roman"/>
          <w:lang w:eastAsia="cs-CZ"/>
        </w:rPr>
      </w:pPr>
      <w:r w:rsidRPr="00C73BE9">
        <w:rPr>
          <w:rFonts w:eastAsia="Times New Roman"/>
          <w:lang w:eastAsia="cs-CZ"/>
        </w:rPr>
        <w:tab/>
      </w:r>
      <w:r w:rsidRPr="00C73BE9">
        <w:rPr>
          <w:rFonts w:eastAsia="Times New Roman"/>
          <w:lang w:eastAsia="cs-CZ"/>
        </w:rPr>
        <w:tab/>
      </w:r>
      <w:r w:rsidR="00F31BFC" w:rsidRPr="00C73BE9">
        <w:rPr>
          <w:rFonts w:eastAsia="Times New Roman"/>
          <w:lang w:eastAsia="cs-CZ"/>
        </w:rPr>
        <w:t xml:space="preserve">na straně jedné jako </w:t>
      </w:r>
      <w:r w:rsidR="008E78E9">
        <w:rPr>
          <w:rFonts w:eastAsia="Times New Roman"/>
          <w:lang w:eastAsia="cs-CZ"/>
        </w:rPr>
        <w:t>objednatel</w:t>
      </w:r>
      <w:r w:rsidR="00F31BFC" w:rsidRPr="00C73BE9">
        <w:rPr>
          <w:rFonts w:eastAsia="Times New Roman"/>
          <w:lang w:eastAsia="cs-CZ"/>
        </w:rPr>
        <w:t xml:space="preserve"> </w:t>
      </w:r>
      <w:r w:rsidRPr="00C73BE9">
        <w:rPr>
          <w:rFonts w:eastAsia="Times New Roman"/>
          <w:lang w:eastAsia="cs-CZ"/>
        </w:rPr>
        <w:t>(dále jen „</w:t>
      </w:r>
      <w:r w:rsidR="00735F8C">
        <w:rPr>
          <w:rFonts w:eastAsia="Times New Roman"/>
          <w:b/>
          <w:lang w:eastAsia="cs-CZ"/>
        </w:rPr>
        <w:t>objednatel</w:t>
      </w:r>
      <w:r w:rsidRPr="00C73BE9">
        <w:rPr>
          <w:rFonts w:eastAsia="Times New Roman"/>
          <w:lang w:eastAsia="cs-CZ"/>
        </w:rPr>
        <w:t xml:space="preserve">“) </w:t>
      </w:r>
    </w:p>
    <w:p w14:paraId="736890E1" w14:textId="77777777" w:rsidR="00F31BFC" w:rsidRPr="00C73BE9" w:rsidRDefault="00F31BFC" w:rsidP="00CB0E89">
      <w:pPr>
        <w:spacing w:after="0"/>
        <w:ind w:hanging="384"/>
        <w:rPr>
          <w:rFonts w:eastAsia="Times New Roman"/>
          <w:sz w:val="24"/>
          <w:szCs w:val="24"/>
          <w:lang w:eastAsia="cs-CZ"/>
        </w:rPr>
      </w:pPr>
    </w:p>
    <w:p w14:paraId="0D8B0F70" w14:textId="77777777" w:rsidR="005B2B48" w:rsidRPr="00C73BE9" w:rsidRDefault="005B2B48" w:rsidP="00F31BFC">
      <w:pPr>
        <w:spacing w:after="0"/>
      </w:pPr>
      <w:r w:rsidRPr="00C73BE9">
        <w:t>a</w:t>
      </w:r>
    </w:p>
    <w:p w14:paraId="2ADBED5E" w14:textId="77777777" w:rsidR="005B2B48" w:rsidRPr="00C73BE9" w:rsidRDefault="005B2B48" w:rsidP="003D5B78">
      <w:pPr>
        <w:spacing w:after="0"/>
      </w:pPr>
    </w:p>
    <w:p w14:paraId="522DF308" w14:textId="77777777" w:rsidR="005B2B48" w:rsidRPr="00C73BE9" w:rsidRDefault="00F31BFC" w:rsidP="00F31BFC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/>
          <w:sz w:val="22"/>
          <w:szCs w:val="22"/>
        </w:rPr>
      </w:pPr>
      <w:r w:rsidRPr="00C73BE9">
        <w:rPr>
          <w:rFonts w:ascii="Calibri" w:hAnsi="Calibri"/>
          <w:sz w:val="22"/>
          <w:szCs w:val="22"/>
        </w:rPr>
        <w:t>2/</w:t>
      </w:r>
      <w:r w:rsidRPr="00C73BE9">
        <w:rPr>
          <w:rFonts w:ascii="Calibri" w:hAnsi="Calibri"/>
          <w:b/>
          <w:sz w:val="22"/>
          <w:szCs w:val="22"/>
        </w:rPr>
        <w:tab/>
      </w:r>
      <w:r w:rsidR="005B2B48" w:rsidRPr="00C73BE9">
        <w:rPr>
          <w:rFonts w:ascii="Calibri" w:hAnsi="Calibri"/>
          <w:sz w:val="22"/>
          <w:szCs w:val="22"/>
        </w:rPr>
        <w:t>[</w:t>
      </w:r>
      <w:r w:rsidR="005B2B48" w:rsidRPr="00C73BE9">
        <w:rPr>
          <w:rFonts w:ascii="Calibri" w:hAnsi="Calibri"/>
          <w:sz w:val="22"/>
          <w:szCs w:val="22"/>
          <w:highlight w:val="cyan"/>
        </w:rPr>
        <w:t>DOPLNÍ UCHAZEČ</w:t>
      </w:r>
      <w:r w:rsidR="005B2B48" w:rsidRPr="00C73BE9">
        <w:rPr>
          <w:rFonts w:ascii="Calibri" w:hAnsi="Calibri"/>
          <w:sz w:val="22"/>
          <w:szCs w:val="22"/>
        </w:rPr>
        <w:t>]</w:t>
      </w:r>
    </w:p>
    <w:p w14:paraId="47D16979" w14:textId="77777777" w:rsidR="00F31BFC" w:rsidRPr="00C73BE9" w:rsidRDefault="00F31BFC" w:rsidP="00F31BFC">
      <w:pPr>
        <w:spacing w:after="0"/>
        <w:ind w:firstLine="708"/>
      </w:pPr>
      <w:r w:rsidRPr="00C73BE9">
        <w:t>IČ:</w:t>
      </w:r>
      <w:r w:rsidRPr="00C73BE9">
        <w:tab/>
      </w:r>
      <w:r w:rsidRPr="00C73BE9">
        <w:tab/>
        <w:t>[</w:t>
      </w:r>
      <w:r w:rsidRPr="00C73BE9">
        <w:rPr>
          <w:highlight w:val="cyan"/>
        </w:rPr>
        <w:t>DOPLNÍ UCHAZEČ</w:t>
      </w:r>
      <w:r w:rsidRPr="00C73BE9">
        <w:t>]</w:t>
      </w:r>
    </w:p>
    <w:p w14:paraId="47C8328E" w14:textId="77777777" w:rsidR="00F31BFC" w:rsidRPr="00C73BE9" w:rsidRDefault="00F31BFC" w:rsidP="00F31BFC">
      <w:pPr>
        <w:spacing w:after="0"/>
        <w:ind w:firstLine="708"/>
      </w:pPr>
      <w:r w:rsidRPr="00C73BE9">
        <w:t>DIČ:</w:t>
      </w:r>
      <w:r w:rsidRPr="00C73BE9">
        <w:tab/>
      </w:r>
      <w:r w:rsidRPr="00C73BE9">
        <w:tab/>
        <w:t>[</w:t>
      </w:r>
      <w:r w:rsidRPr="00C73BE9">
        <w:rPr>
          <w:highlight w:val="cyan"/>
        </w:rPr>
        <w:t>DOPLNÍ UCHAZEČ</w:t>
      </w:r>
      <w:r w:rsidRPr="00C73BE9">
        <w:t>]</w:t>
      </w:r>
    </w:p>
    <w:p w14:paraId="66484521" w14:textId="77777777" w:rsidR="005B2B48" w:rsidRPr="00C73BE9" w:rsidRDefault="00F31BFC" w:rsidP="00F31BFC">
      <w:pPr>
        <w:pStyle w:val="Odstavec11"/>
        <w:numPr>
          <w:ilvl w:val="0"/>
          <w:numId w:val="0"/>
        </w:numPr>
        <w:spacing w:before="0" w:line="276" w:lineRule="auto"/>
        <w:ind w:firstLine="708"/>
        <w:rPr>
          <w:rFonts w:ascii="Calibri" w:hAnsi="Calibri"/>
          <w:sz w:val="22"/>
          <w:szCs w:val="22"/>
        </w:rPr>
      </w:pPr>
      <w:r w:rsidRPr="00C73BE9">
        <w:rPr>
          <w:rFonts w:ascii="Calibri" w:hAnsi="Calibri"/>
          <w:sz w:val="22"/>
          <w:szCs w:val="22"/>
        </w:rPr>
        <w:t xml:space="preserve">se sídlem v </w:t>
      </w:r>
      <w:r w:rsidRPr="00C73BE9">
        <w:rPr>
          <w:rFonts w:ascii="Calibri" w:hAnsi="Calibri"/>
          <w:sz w:val="22"/>
          <w:szCs w:val="22"/>
        </w:rPr>
        <w:tab/>
      </w:r>
      <w:r w:rsidR="005B2B48" w:rsidRPr="00C73BE9">
        <w:rPr>
          <w:rFonts w:ascii="Calibri" w:hAnsi="Calibri"/>
          <w:sz w:val="22"/>
          <w:szCs w:val="22"/>
        </w:rPr>
        <w:t>[</w:t>
      </w:r>
      <w:r w:rsidR="005B2B48" w:rsidRPr="00C73BE9">
        <w:rPr>
          <w:rFonts w:ascii="Calibri" w:hAnsi="Calibri"/>
          <w:sz w:val="22"/>
          <w:szCs w:val="22"/>
          <w:highlight w:val="cyan"/>
        </w:rPr>
        <w:t>DOPLNÍ UCHAZEČ</w:t>
      </w:r>
      <w:r w:rsidR="005B2B48" w:rsidRPr="00C73BE9">
        <w:rPr>
          <w:rFonts w:ascii="Calibri" w:hAnsi="Calibri"/>
          <w:sz w:val="22"/>
          <w:szCs w:val="22"/>
        </w:rPr>
        <w:t>]</w:t>
      </w:r>
    </w:p>
    <w:p w14:paraId="7D90F121" w14:textId="77777777" w:rsidR="00F31BFC" w:rsidRPr="00C73BE9" w:rsidRDefault="00F31BFC" w:rsidP="00F31BFC">
      <w:pPr>
        <w:spacing w:after="0"/>
        <w:ind w:left="708"/>
      </w:pPr>
      <w:r w:rsidRPr="00C73BE9">
        <w:t>zapsaný v obchodním rejstříku vedeném [</w:t>
      </w:r>
      <w:r w:rsidRPr="00C73BE9">
        <w:rPr>
          <w:highlight w:val="cyan"/>
        </w:rPr>
        <w:t>DOPLNÍ UCHAZEČ</w:t>
      </w:r>
      <w:r w:rsidRPr="00C73BE9">
        <w:t>],</w:t>
      </w:r>
      <w:r w:rsidRPr="00C73BE9">
        <w:br/>
        <w:t>oddíl [</w:t>
      </w:r>
      <w:r w:rsidRPr="00C73BE9">
        <w:rPr>
          <w:highlight w:val="cyan"/>
        </w:rPr>
        <w:t>DOPLNÍ UCHAZEČ</w:t>
      </w:r>
      <w:r w:rsidRPr="00C73BE9">
        <w:t>], vložka [</w:t>
      </w:r>
      <w:r w:rsidRPr="00C73BE9">
        <w:rPr>
          <w:highlight w:val="cyan"/>
        </w:rPr>
        <w:t>DOPLNÍ UCHAZEČ</w:t>
      </w:r>
      <w:r w:rsidRPr="00C73BE9">
        <w:t>]</w:t>
      </w:r>
    </w:p>
    <w:p w14:paraId="3C7F7FA4" w14:textId="77777777" w:rsidR="005B2B48" w:rsidRPr="00C73BE9" w:rsidRDefault="00F31BFC" w:rsidP="00F31BFC">
      <w:pPr>
        <w:pStyle w:val="Odstavec11"/>
        <w:numPr>
          <w:ilvl w:val="0"/>
          <w:numId w:val="0"/>
        </w:numPr>
        <w:spacing w:before="0" w:line="276" w:lineRule="auto"/>
        <w:ind w:firstLine="708"/>
        <w:rPr>
          <w:rFonts w:ascii="Calibri" w:hAnsi="Calibri"/>
          <w:sz w:val="22"/>
          <w:szCs w:val="22"/>
        </w:rPr>
      </w:pPr>
      <w:r w:rsidRPr="00C73BE9">
        <w:rPr>
          <w:rFonts w:ascii="Calibri" w:hAnsi="Calibri"/>
          <w:sz w:val="22"/>
          <w:szCs w:val="22"/>
        </w:rPr>
        <w:t>jednající</w:t>
      </w:r>
      <w:r w:rsidRPr="00C73BE9">
        <w:rPr>
          <w:rFonts w:ascii="Calibri" w:hAnsi="Calibri"/>
          <w:sz w:val="22"/>
          <w:szCs w:val="22"/>
        </w:rPr>
        <w:tab/>
      </w:r>
      <w:r w:rsidR="005B2B48" w:rsidRPr="00C73BE9">
        <w:rPr>
          <w:rFonts w:ascii="Calibri" w:hAnsi="Calibri"/>
          <w:sz w:val="22"/>
          <w:szCs w:val="22"/>
        </w:rPr>
        <w:t>[</w:t>
      </w:r>
      <w:r w:rsidR="005B2B48" w:rsidRPr="00C73BE9">
        <w:rPr>
          <w:rFonts w:ascii="Calibri" w:hAnsi="Calibri"/>
          <w:sz w:val="22"/>
          <w:szCs w:val="22"/>
          <w:highlight w:val="cyan"/>
        </w:rPr>
        <w:t>DOPLNÍ UCHAZEČ</w:t>
      </w:r>
      <w:r w:rsidR="005B2B48" w:rsidRPr="00C73BE9">
        <w:rPr>
          <w:rFonts w:ascii="Calibri" w:hAnsi="Calibri"/>
          <w:sz w:val="22"/>
          <w:szCs w:val="22"/>
        </w:rPr>
        <w:t>]</w:t>
      </w:r>
    </w:p>
    <w:p w14:paraId="02508BC7" w14:textId="77777777" w:rsidR="005B2B48" w:rsidRPr="00C73BE9" w:rsidRDefault="005B2B48" w:rsidP="00F31BFC">
      <w:pPr>
        <w:pStyle w:val="Odstavec11"/>
        <w:numPr>
          <w:ilvl w:val="0"/>
          <w:numId w:val="0"/>
        </w:numPr>
        <w:spacing w:before="0" w:line="276" w:lineRule="auto"/>
        <w:ind w:firstLine="708"/>
        <w:rPr>
          <w:rFonts w:ascii="Calibri" w:hAnsi="Calibri"/>
          <w:sz w:val="22"/>
          <w:szCs w:val="22"/>
        </w:rPr>
      </w:pPr>
      <w:r w:rsidRPr="00C73BE9">
        <w:rPr>
          <w:rFonts w:ascii="Calibri" w:hAnsi="Calibri"/>
          <w:sz w:val="22"/>
          <w:szCs w:val="22"/>
        </w:rPr>
        <w:t>bank.</w:t>
      </w:r>
      <w:r w:rsidR="00F31BFC" w:rsidRPr="00C73BE9">
        <w:rPr>
          <w:rFonts w:ascii="Calibri" w:hAnsi="Calibri"/>
          <w:sz w:val="22"/>
          <w:szCs w:val="22"/>
        </w:rPr>
        <w:t>spojení:</w:t>
      </w:r>
      <w:r w:rsidR="00F31BFC" w:rsidRPr="00C73BE9">
        <w:rPr>
          <w:rFonts w:ascii="Calibri" w:hAnsi="Calibri"/>
          <w:sz w:val="22"/>
          <w:szCs w:val="22"/>
        </w:rPr>
        <w:tab/>
      </w:r>
      <w:r w:rsidRPr="00C73BE9">
        <w:rPr>
          <w:rFonts w:ascii="Calibri" w:hAnsi="Calibri"/>
          <w:sz w:val="22"/>
          <w:szCs w:val="22"/>
        </w:rPr>
        <w:t>[</w:t>
      </w:r>
      <w:r w:rsidRPr="00C73BE9">
        <w:rPr>
          <w:rFonts w:ascii="Calibri" w:hAnsi="Calibri"/>
          <w:sz w:val="22"/>
          <w:szCs w:val="22"/>
          <w:highlight w:val="cyan"/>
        </w:rPr>
        <w:t>DOPLNÍ UCHAZEČ</w:t>
      </w:r>
      <w:r w:rsidRPr="00C73BE9">
        <w:rPr>
          <w:rFonts w:ascii="Calibri" w:hAnsi="Calibri"/>
          <w:sz w:val="22"/>
          <w:szCs w:val="22"/>
        </w:rPr>
        <w:t>]</w:t>
      </w:r>
    </w:p>
    <w:p w14:paraId="670EF28F" w14:textId="77777777" w:rsidR="005B2B48" w:rsidRPr="00C73BE9" w:rsidRDefault="00F31BFC" w:rsidP="00F31BFC">
      <w:pPr>
        <w:pStyle w:val="Odstavec11"/>
        <w:numPr>
          <w:ilvl w:val="0"/>
          <w:numId w:val="0"/>
        </w:numPr>
        <w:spacing w:before="0" w:line="276" w:lineRule="auto"/>
        <w:ind w:firstLine="708"/>
        <w:rPr>
          <w:rFonts w:ascii="Calibri" w:hAnsi="Calibri"/>
          <w:sz w:val="22"/>
          <w:szCs w:val="22"/>
        </w:rPr>
      </w:pPr>
      <w:r w:rsidRPr="00C73BE9">
        <w:rPr>
          <w:rFonts w:ascii="Calibri" w:hAnsi="Calibri"/>
          <w:sz w:val="22"/>
          <w:szCs w:val="22"/>
        </w:rPr>
        <w:t>číslo účtu:</w:t>
      </w:r>
      <w:r w:rsidRPr="00C73BE9">
        <w:rPr>
          <w:rFonts w:ascii="Calibri" w:hAnsi="Calibri"/>
          <w:sz w:val="22"/>
          <w:szCs w:val="22"/>
        </w:rPr>
        <w:tab/>
      </w:r>
      <w:r w:rsidR="005B2B48" w:rsidRPr="00C73BE9">
        <w:rPr>
          <w:rFonts w:ascii="Calibri" w:hAnsi="Calibri"/>
          <w:sz w:val="22"/>
          <w:szCs w:val="22"/>
        </w:rPr>
        <w:t>[</w:t>
      </w:r>
      <w:r w:rsidR="005B2B48" w:rsidRPr="00C73BE9">
        <w:rPr>
          <w:rFonts w:ascii="Calibri" w:hAnsi="Calibri"/>
          <w:sz w:val="22"/>
          <w:szCs w:val="22"/>
          <w:highlight w:val="cyan"/>
        </w:rPr>
        <w:t>DOPLNÍ UCHAZEČ</w:t>
      </w:r>
      <w:r w:rsidR="005B2B48" w:rsidRPr="00C73BE9">
        <w:rPr>
          <w:rFonts w:ascii="Calibri" w:hAnsi="Calibri"/>
          <w:sz w:val="22"/>
          <w:szCs w:val="22"/>
        </w:rPr>
        <w:t>]</w:t>
      </w:r>
    </w:p>
    <w:p w14:paraId="437C4AAB" w14:textId="77777777" w:rsidR="00F31BFC" w:rsidRPr="00C73BE9" w:rsidRDefault="00F31BFC" w:rsidP="003D5B78">
      <w:pPr>
        <w:spacing w:after="0"/>
        <w:ind w:firstLine="708"/>
      </w:pPr>
    </w:p>
    <w:p w14:paraId="12495020" w14:textId="4AD6066D" w:rsidR="005B2B48" w:rsidRPr="00C73BE9" w:rsidRDefault="00F31BFC" w:rsidP="003D5B78">
      <w:pPr>
        <w:spacing w:after="0"/>
        <w:ind w:firstLine="708"/>
      </w:pPr>
      <w:r w:rsidRPr="00C73BE9">
        <w:t xml:space="preserve">na straně druhé jako </w:t>
      </w:r>
      <w:r w:rsidR="008E78E9">
        <w:t xml:space="preserve">zhotovitel </w:t>
      </w:r>
      <w:r w:rsidRPr="00C73BE9">
        <w:t>(dále jen „</w:t>
      </w:r>
      <w:r w:rsidR="00735F8C">
        <w:rPr>
          <w:b/>
        </w:rPr>
        <w:t>zhotovitel</w:t>
      </w:r>
      <w:r w:rsidRPr="00C73BE9">
        <w:t>“)</w:t>
      </w:r>
    </w:p>
    <w:p w14:paraId="2193927A" w14:textId="77777777" w:rsidR="005B2B48" w:rsidRPr="00C73BE9" w:rsidRDefault="005B2B48" w:rsidP="003D5B78">
      <w:pPr>
        <w:pStyle w:val="Textkomente"/>
        <w:spacing w:line="276" w:lineRule="auto"/>
      </w:pPr>
    </w:p>
    <w:p w14:paraId="3567044C" w14:textId="77777777" w:rsidR="005B2B48" w:rsidRPr="00C73BE9" w:rsidRDefault="005B2B48" w:rsidP="003D5B78">
      <w:pPr>
        <w:spacing w:after="0"/>
      </w:pPr>
      <w:r w:rsidRPr="00C73BE9">
        <w:t>(společně dále také</w:t>
      </w:r>
      <w:r w:rsidR="00F31BFC" w:rsidRPr="00C73BE9">
        <w:t xml:space="preserve"> jen</w:t>
      </w:r>
      <w:r w:rsidRPr="00C73BE9">
        <w:t xml:space="preserve"> jako „smluvní strany“)</w:t>
      </w:r>
    </w:p>
    <w:p w14:paraId="04B3703D" w14:textId="77777777" w:rsidR="00D32C96" w:rsidRDefault="00D32C96" w:rsidP="003D5B78">
      <w:pPr>
        <w:autoSpaceDE w:val="0"/>
        <w:autoSpaceDN w:val="0"/>
        <w:adjustRightInd w:val="0"/>
        <w:spacing w:after="0"/>
      </w:pPr>
    </w:p>
    <w:p w14:paraId="6A28AD68" w14:textId="77777777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uzavírají dnešního dne, měsíce a roku tuto:</w:t>
      </w:r>
    </w:p>
    <w:p w14:paraId="35916731" w14:textId="77777777" w:rsidR="00CE139B" w:rsidRPr="008E78E9" w:rsidRDefault="00CE139B" w:rsidP="00CE139B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8E78E9">
        <w:rPr>
          <w:sz w:val="28"/>
          <w:szCs w:val="28"/>
        </w:rPr>
        <w:t>SMLOUVU O DÍLO</w:t>
      </w:r>
    </w:p>
    <w:p w14:paraId="1F79D69A" w14:textId="77777777" w:rsidR="00CE139B" w:rsidRDefault="00CE139B" w:rsidP="00CE139B">
      <w:pPr>
        <w:autoSpaceDE w:val="0"/>
        <w:autoSpaceDN w:val="0"/>
        <w:adjustRightInd w:val="0"/>
        <w:spacing w:after="0"/>
        <w:jc w:val="center"/>
      </w:pPr>
    </w:p>
    <w:p w14:paraId="263098AC" w14:textId="202A9DDA" w:rsidR="00CE139B" w:rsidRDefault="00CE139B" w:rsidP="00CE139B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FE691C">
        <w:rPr>
          <w:b/>
          <w:bCs/>
        </w:rPr>
        <w:t>I. Předmět plnění:</w:t>
      </w:r>
    </w:p>
    <w:p w14:paraId="4C260A7A" w14:textId="77777777" w:rsidR="008E78E9" w:rsidRPr="00FE691C" w:rsidRDefault="008E78E9" w:rsidP="00CE139B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2BDFD00F" w14:textId="0E53CD81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1. Smluvní strany úvodem konstatují, že podkladem pro uzavření této smlouvy je výsledek výběrového řízení veřejné zakázky malého rozsahu na provedení akce „</w:t>
      </w:r>
      <w:r w:rsidR="00C317C0">
        <w:t>Dodávka nábytku do do učebny ICT</w:t>
      </w:r>
      <w:r>
        <w:t>“ vyhlášené objednatelem jako Zadavatelem (dále jen „veřejná zakázka“).</w:t>
      </w:r>
    </w:p>
    <w:p w14:paraId="1835F69E" w14:textId="1F99EFB4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2. Zhotovitel se zavazuje provést pro objednatele</w:t>
      </w:r>
      <w:r w:rsidR="005A27AB">
        <w:t xml:space="preserve"> -</w:t>
      </w:r>
      <w:r>
        <w:t xml:space="preserve"> za podmínek</w:t>
      </w:r>
      <w:r w:rsidR="005827BE">
        <w:t xml:space="preserve"> </w:t>
      </w:r>
      <w:r>
        <w:t xml:space="preserve">a v rozsahu dle </w:t>
      </w:r>
      <w:r w:rsidR="005A27AB">
        <w:t>„</w:t>
      </w:r>
      <w:r>
        <w:t>Technické specifikace</w:t>
      </w:r>
      <w:r w:rsidR="005A27AB">
        <w:t>“</w:t>
      </w:r>
      <w:r>
        <w:t xml:space="preserve">, jež tvoří nedílnou </w:t>
      </w:r>
      <w:r w:rsidRPr="005827BE">
        <w:t xml:space="preserve">součást této smlouvy jako příloha č. 1 a </w:t>
      </w:r>
      <w:r w:rsidR="005A27AB">
        <w:t>„</w:t>
      </w:r>
      <w:r w:rsidR="008076D1" w:rsidRPr="005827BE">
        <w:t>Vizualizace a půdorysného rozmístění</w:t>
      </w:r>
      <w:r w:rsidR="005A27AB">
        <w:t>“</w:t>
      </w:r>
      <w:r w:rsidR="00057BAA" w:rsidRPr="005827BE">
        <w:t>,</w:t>
      </w:r>
      <w:r w:rsidR="008076D1" w:rsidRPr="005827BE">
        <w:t xml:space="preserve"> jež tvoří </w:t>
      </w:r>
      <w:r w:rsidRPr="005827BE">
        <w:t>příloh</w:t>
      </w:r>
      <w:r w:rsidR="008076D1" w:rsidRPr="005827BE">
        <w:t>u</w:t>
      </w:r>
      <w:r w:rsidRPr="005827BE">
        <w:t xml:space="preserve"> č. 2 </w:t>
      </w:r>
      <w:r w:rsidR="008076D1" w:rsidRPr="005827BE">
        <w:t>této smlouvy</w:t>
      </w:r>
      <w:r w:rsidR="005A27AB">
        <w:t xml:space="preserve"> -</w:t>
      </w:r>
      <w:r w:rsidR="008076D1" w:rsidRPr="005827BE">
        <w:t xml:space="preserve"> </w:t>
      </w:r>
      <w:r w:rsidRPr="005827BE">
        <w:t xml:space="preserve">vlastním jménem, na vlastní náklad a nebezpečí dodávku a montáž </w:t>
      </w:r>
      <w:r w:rsidR="00057BAA" w:rsidRPr="005827BE">
        <w:t>nábytku</w:t>
      </w:r>
      <w:r w:rsidRPr="005827BE">
        <w:t xml:space="preserve">, jakož i další s tím související činnosti – vše podrobně specifikováno v této </w:t>
      </w:r>
      <w:r w:rsidRPr="005827BE">
        <w:lastRenderedPageBreak/>
        <w:t>smlouvě a jejích přílohách (dále jen „dílo“) a objednatel se zavazuje řádně dokončené dílo převzít a zaplatit za něj zhotoviteli cenu díla dle čl. III. této smlouvy.</w:t>
      </w:r>
    </w:p>
    <w:p w14:paraId="29CA99B3" w14:textId="44685A4D" w:rsidR="00CE139B" w:rsidRPr="005827BE" w:rsidRDefault="00CE139B" w:rsidP="00CE139B">
      <w:pPr>
        <w:autoSpaceDE w:val="0"/>
        <w:autoSpaceDN w:val="0"/>
        <w:adjustRightInd w:val="0"/>
        <w:spacing w:after="0"/>
        <w:jc w:val="both"/>
      </w:pPr>
      <w:r>
        <w:t xml:space="preserve">3. Zhotovitel prohlašuje, že se důkladně a s odbornou péčí seznámil se všemi výše uvedenými podklady. Zhotovitel prohlašuje, že tyto podklady pro </w:t>
      </w:r>
      <w:r w:rsidRPr="005827BE">
        <w:t>realizaci díla jsou dostatečné, jednoznačné, jemu plně srozumitelné a vhodné pro provedení díla v rozsahu, kvalitě, ceně a termínech sjednaných v této smlouvě.</w:t>
      </w:r>
    </w:p>
    <w:p w14:paraId="5C7740F7" w14:textId="76168AFF" w:rsidR="00CE139B" w:rsidRDefault="00CE139B" w:rsidP="00CE139B">
      <w:pPr>
        <w:autoSpaceDE w:val="0"/>
        <w:autoSpaceDN w:val="0"/>
        <w:adjustRightInd w:val="0"/>
        <w:spacing w:after="0"/>
        <w:jc w:val="both"/>
      </w:pPr>
      <w:r w:rsidRPr="005827BE">
        <w:t xml:space="preserve">4. Místem realizace díla je </w:t>
      </w:r>
      <w:r w:rsidR="004A6303" w:rsidRPr="005827BE">
        <w:t>Trnkova 2482/113, Líšeň, 62800 Brno</w:t>
      </w:r>
      <w:r w:rsidRPr="005827BE">
        <w:t>.</w:t>
      </w:r>
    </w:p>
    <w:p w14:paraId="4A6D337E" w14:textId="35067C93" w:rsidR="00CE139B" w:rsidRPr="00FE691C" w:rsidRDefault="00CE139B" w:rsidP="001B0D53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5A5D3280" w14:textId="17933EF5" w:rsidR="00CE139B" w:rsidRDefault="00CE139B" w:rsidP="001B0D53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FE691C">
        <w:rPr>
          <w:b/>
          <w:bCs/>
        </w:rPr>
        <w:t>II. Doba plnění a předání díla:</w:t>
      </w:r>
    </w:p>
    <w:p w14:paraId="0AB40623" w14:textId="77777777" w:rsidR="008E78E9" w:rsidRPr="00FE691C" w:rsidRDefault="008E78E9" w:rsidP="001B0D53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4A3BD4A7" w14:textId="18A733D5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 xml:space="preserve">1. Zhotovitel je povinen provést dílo řádně nejpozději však do </w:t>
      </w:r>
      <w:r w:rsidR="003A0212">
        <w:t>80 dní</w:t>
      </w:r>
      <w:r w:rsidR="00EF222E">
        <w:t xml:space="preserve"> od účinnosti této smlouvy</w:t>
      </w:r>
      <w:r>
        <w:t>,</w:t>
      </w:r>
      <w:r w:rsidR="00FE691C">
        <w:t xml:space="preserve"> </w:t>
      </w:r>
      <w:r>
        <w:t>a to dle podmínek dále uvedených v této smlouvě.</w:t>
      </w:r>
    </w:p>
    <w:p w14:paraId="287622A2" w14:textId="1AF63FE7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2. Zhotovitel je povinen oznámit objednateli nejméně 7 dnů předem termín dodávky předmětu</w:t>
      </w:r>
      <w:r w:rsidR="00FE691C">
        <w:t xml:space="preserve"> </w:t>
      </w:r>
      <w:r>
        <w:t>plnění dle této smlouvy na místo plnění, resp. se na termínu dodávky s objednatelem předem</w:t>
      </w:r>
      <w:r w:rsidR="00FE691C">
        <w:t xml:space="preserve"> </w:t>
      </w:r>
      <w:r>
        <w:t>dohodnout, a to prostřednictvím email</w:t>
      </w:r>
      <w:r w:rsidR="00FE691C">
        <w:t xml:space="preserve">u. </w:t>
      </w:r>
    </w:p>
    <w:p w14:paraId="523F70C8" w14:textId="668D863C" w:rsidR="00CE139B" w:rsidRDefault="00FE691C" w:rsidP="00CE139B">
      <w:pPr>
        <w:autoSpaceDE w:val="0"/>
        <w:autoSpaceDN w:val="0"/>
        <w:adjustRightInd w:val="0"/>
        <w:spacing w:after="0"/>
        <w:jc w:val="both"/>
      </w:pPr>
      <w:r>
        <w:t>3</w:t>
      </w:r>
      <w:r w:rsidR="00CE139B">
        <w:t>. Nedojde-li za podmínek a v termínu dle této smlouvy k provedení díla zhotovitelem, a to bez</w:t>
      </w:r>
      <w:r>
        <w:t xml:space="preserve"> </w:t>
      </w:r>
      <w:r w:rsidR="00CE139B">
        <w:t>ohledu na zavinění zhotovitele, smluvní strany podpisem této smlouvy ujednávají, že</w:t>
      </w:r>
      <w:r>
        <w:t xml:space="preserve"> </w:t>
      </w:r>
      <w:r w:rsidR="00CE139B">
        <w:t>objednatel je oprávněn nechat provést/dokončit dílo, které je předmětem této smlouvy třetí</w:t>
      </w:r>
      <w:r>
        <w:t xml:space="preserve"> </w:t>
      </w:r>
      <w:r w:rsidR="00CE139B">
        <w:t>osobou a zhotovitel je pro tento případ povinen objednateli – na základě jím vystavené faktury</w:t>
      </w:r>
      <w:r>
        <w:t xml:space="preserve"> </w:t>
      </w:r>
      <w:r w:rsidR="00CE139B">
        <w:t>– uhradit veškeré tímto vzniklé náklady, které objednatel vynaložil za účelem a ve spojení s</w:t>
      </w:r>
      <w:r>
        <w:t xml:space="preserve"> </w:t>
      </w:r>
      <w:r w:rsidR="00CE139B">
        <w:t>provedením/dokončením díla třetí osobě, nedohodnou-li se smluvní strany následně jinak.</w:t>
      </w:r>
    </w:p>
    <w:p w14:paraId="00B02087" w14:textId="518289E4" w:rsidR="00CE139B" w:rsidRDefault="00FE691C" w:rsidP="00CE139B">
      <w:pPr>
        <w:autoSpaceDE w:val="0"/>
        <w:autoSpaceDN w:val="0"/>
        <w:adjustRightInd w:val="0"/>
        <w:spacing w:after="0"/>
        <w:jc w:val="both"/>
      </w:pPr>
      <w:r>
        <w:t>4</w:t>
      </w:r>
      <w:r w:rsidR="00CE139B">
        <w:t>. Dokončením díla se rozumí jeho řádné provedení včetně protokolárního předání a převzetí</w:t>
      </w:r>
      <w:r>
        <w:t xml:space="preserve"> </w:t>
      </w:r>
      <w:r w:rsidR="00CE139B">
        <w:t>objednatelem. O předání a převzetí díla bude sepsán předávací protokol, který podepíší obě</w:t>
      </w:r>
      <w:r>
        <w:t xml:space="preserve"> </w:t>
      </w:r>
      <w:r w:rsidR="00CE139B">
        <w:t>smluvní strany. Rozhodující pro převzetí jednotlivých prací, činností a dodávek je stanovisko</w:t>
      </w:r>
      <w:r>
        <w:t xml:space="preserve"> </w:t>
      </w:r>
      <w:r w:rsidR="00CE139B">
        <w:t>objednatele.</w:t>
      </w:r>
    </w:p>
    <w:p w14:paraId="081E1276" w14:textId="158BEBF7" w:rsidR="00CE139B" w:rsidRDefault="00FE691C" w:rsidP="00CE139B">
      <w:pPr>
        <w:autoSpaceDE w:val="0"/>
        <w:autoSpaceDN w:val="0"/>
        <w:adjustRightInd w:val="0"/>
        <w:spacing w:after="0"/>
        <w:jc w:val="both"/>
      </w:pPr>
      <w:r>
        <w:t>5</w:t>
      </w:r>
      <w:r w:rsidR="00CE139B">
        <w:t>. Do doby předání a převzetí díla nese nebezpečí škody na díle zhotovitel. Obsahuje – li dílo,</w:t>
      </w:r>
      <w:r>
        <w:t xml:space="preserve"> </w:t>
      </w:r>
      <w:r w:rsidR="00CE139B">
        <w:t>které je předmětem předání a převzetí vady nebo nedodělky, musí předávací protokol</w:t>
      </w:r>
      <w:r>
        <w:t xml:space="preserve"> </w:t>
      </w:r>
      <w:r w:rsidR="00CE139B">
        <w:t>obsahovat soupis zjištěných vad a nedodělků, dohodu o způsobu a termínech jejich</w:t>
      </w:r>
      <w:r>
        <w:t xml:space="preserve"> </w:t>
      </w:r>
      <w:r w:rsidR="00CE139B">
        <w:t>odstranění, popřípadě o jiném způsobu narovnání. Pokud objednatel požaduje odstranění vad</w:t>
      </w:r>
      <w:r>
        <w:t xml:space="preserve"> </w:t>
      </w:r>
      <w:r w:rsidR="00CE139B">
        <w:t>díla, opakuje se předávací řízení v nezbytně nutném rozsahu po odstranění nedostatků, pro</w:t>
      </w:r>
      <w:r>
        <w:t xml:space="preserve"> </w:t>
      </w:r>
      <w:r w:rsidR="00CE139B">
        <w:t>které objednatel odmítnul předmět díla převzít. Smluvní strany ujednaly, že objednatel není</w:t>
      </w:r>
      <w:r>
        <w:t xml:space="preserve"> </w:t>
      </w:r>
      <w:r w:rsidR="00CE139B">
        <w:t>povinen převzít dílo vykazující vady a nedodělky, a to i přesto, že tyto vady a nedodělky</w:t>
      </w:r>
      <w:r>
        <w:t xml:space="preserve"> </w:t>
      </w:r>
      <w:r w:rsidR="00CE139B">
        <w:t>nebrání užívání díla. V případě, že objednatel odmítá dílo převzít, uvede v protokolu o předání</w:t>
      </w:r>
      <w:r>
        <w:t xml:space="preserve"> </w:t>
      </w:r>
      <w:r w:rsidR="00CE139B">
        <w:t>i důvody, pro které odmítá dílo převzít.</w:t>
      </w:r>
    </w:p>
    <w:p w14:paraId="1B274122" w14:textId="38704C7E" w:rsidR="00CE139B" w:rsidRDefault="00FE691C" w:rsidP="00CE139B">
      <w:pPr>
        <w:autoSpaceDE w:val="0"/>
        <w:autoSpaceDN w:val="0"/>
        <w:adjustRightInd w:val="0"/>
        <w:spacing w:after="0"/>
        <w:jc w:val="both"/>
      </w:pPr>
      <w:r>
        <w:t>6</w:t>
      </w:r>
      <w:r w:rsidR="00CE139B">
        <w:t>. Bude-li dílo vykazovat vady a nedodělky, je zhotovitel povinen tyto vady a nedodělky ve</w:t>
      </w:r>
      <w:r>
        <w:t xml:space="preserve"> </w:t>
      </w:r>
      <w:r w:rsidR="00CE139B">
        <w:t>stanovené lhůtě 10 kalendářních dnů odstranit, a to i v případě kdy podle jeho názoru za vady</w:t>
      </w:r>
      <w:r>
        <w:t xml:space="preserve"> </w:t>
      </w:r>
      <w:r w:rsidR="00CE139B">
        <w:t>a nedodělky neodpovídá. Náklady na odstranění v těchto sporných případech nese až do</w:t>
      </w:r>
      <w:r>
        <w:t xml:space="preserve"> </w:t>
      </w:r>
      <w:r w:rsidR="00CE139B">
        <w:t>případného rozhodnutí soudu zhotovitel. O odstranění vad a nedodělků se smluvní strany</w:t>
      </w:r>
      <w:r>
        <w:t xml:space="preserve"> </w:t>
      </w:r>
      <w:r w:rsidR="00CE139B">
        <w:t>zavazují sepsat protokol.</w:t>
      </w:r>
    </w:p>
    <w:p w14:paraId="5A64FB40" w14:textId="77777777" w:rsidR="00374119" w:rsidRDefault="00374119" w:rsidP="00FE691C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6D01005E" w14:textId="77777777" w:rsidR="008D316F" w:rsidRDefault="008D316F" w:rsidP="00FE691C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49FEA376" w14:textId="77777777" w:rsidR="008D316F" w:rsidRDefault="008D316F" w:rsidP="00FE691C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3360A128" w14:textId="77777777" w:rsidR="008D316F" w:rsidRDefault="008D316F" w:rsidP="00FE691C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4BFA63BB" w14:textId="4D308B83" w:rsidR="00CE139B" w:rsidRDefault="00CE139B" w:rsidP="00FE691C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FE691C">
        <w:rPr>
          <w:b/>
          <w:bCs/>
        </w:rPr>
        <w:lastRenderedPageBreak/>
        <w:t>I</w:t>
      </w:r>
      <w:r w:rsidR="00FE691C">
        <w:rPr>
          <w:b/>
          <w:bCs/>
        </w:rPr>
        <w:t>II</w:t>
      </w:r>
      <w:r w:rsidRPr="00FE691C">
        <w:rPr>
          <w:b/>
          <w:bCs/>
        </w:rPr>
        <w:t>. Cena plnění:</w:t>
      </w:r>
    </w:p>
    <w:p w14:paraId="7D97D548" w14:textId="77777777" w:rsidR="008E78E9" w:rsidRPr="00FE691C" w:rsidRDefault="008E78E9" w:rsidP="00FE691C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09B7FAB0" w14:textId="58C85216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1. Cena díla je ujednána v měně CZK, je stanovena dohodou smluvních stran jako nejvýše</w:t>
      </w:r>
      <w:r w:rsidR="00FE691C">
        <w:t xml:space="preserve"> </w:t>
      </w:r>
      <w:r>
        <w:t>přípustná včetně dopravy, montáže a souvisejících činností /např. manipulace, odvoz odpadu/</w:t>
      </w:r>
      <w:r w:rsidR="00FE691C">
        <w:t xml:space="preserve"> </w:t>
      </w:r>
      <w:r>
        <w:t>specifikovaných touto smlouvou /ve znění jejích příloh/, resp. jsou v ní zahrnuty veškeré</w:t>
      </w:r>
      <w:r w:rsidR="00FE691C">
        <w:t xml:space="preserve"> </w:t>
      </w:r>
      <w:r>
        <w:t>náklady vzniklé v souvislosti s plněním předmětu této smlouvy a činí: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"/>
        <w:gridCol w:w="1275"/>
        <w:gridCol w:w="709"/>
        <w:gridCol w:w="992"/>
        <w:gridCol w:w="1843"/>
        <w:gridCol w:w="1418"/>
        <w:gridCol w:w="2083"/>
      </w:tblGrid>
      <w:tr w:rsidR="008D316F" w:rsidRPr="00167E98" w14:paraId="6E2709B1" w14:textId="77777777" w:rsidTr="00AD7C08">
        <w:trPr>
          <w:trHeight w:val="270"/>
          <w:jc w:val="center"/>
        </w:trPr>
        <w:tc>
          <w:tcPr>
            <w:tcW w:w="3219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774018AD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>Cena za celé plnění bez DPH:</w:t>
            </w:r>
          </w:p>
        </w:tc>
        <w:tc>
          <w:tcPr>
            <w:tcW w:w="4253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FFA5DF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>Samostatně DPH (sazba 21 %):</w:t>
            </w:r>
          </w:p>
        </w:tc>
        <w:tc>
          <w:tcPr>
            <w:tcW w:w="2083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8B5420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167E98">
              <w:rPr>
                <w:rFonts w:cs="Calibri"/>
                <w:bCs/>
                <w:sz w:val="24"/>
                <w:szCs w:val="24"/>
              </w:rPr>
              <w:t>Cena za celé plnění včetně DPH:</w:t>
            </w:r>
          </w:p>
        </w:tc>
      </w:tr>
      <w:tr w:rsidR="008D316F" w:rsidRPr="00167E98" w14:paraId="4484292D" w14:textId="77777777" w:rsidTr="00AD7C08">
        <w:trPr>
          <w:trHeight w:val="620"/>
          <w:jc w:val="center"/>
        </w:trPr>
        <w:tc>
          <w:tcPr>
            <w:tcW w:w="32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noWrap/>
            <w:vAlign w:val="center"/>
          </w:tcPr>
          <w:p w14:paraId="6AABC2BC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>  [DOPLNÍ ÚČASTNÍK]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5A94D1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  <w:tc>
          <w:tcPr>
            <w:tcW w:w="2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0BECB1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sz w:val="24"/>
                <w:szCs w:val="24"/>
                <w:highlight w:val="cyan"/>
              </w:rPr>
              <w:t xml:space="preserve"> [DOPLNÍ ÚČASTNÍK]</w:t>
            </w:r>
          </w:p>
        </w:tc>
      </w:tr>
      <w:tr w:rsidR="008D316F" w:rsidRPr="00167E98" w14:paraId="510D321D" w14:textId="77777777" w:rsidTr="00AD7C08">
        <w:trPr>
          <w:trHeight w:val="62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noWrap/>
            <w:vAlign w:val="center"/>
          </w:tcPr>
          <w:p w14:paraId="1D2C8C40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Jednotkové ceny</w:t>
            </w:r>
          </w:p>
        </w:tc>
      </w:tr>
      <w:tr w:rsidR="008D316F" w:rsidRPr="00167E98" w14:paraId="3BCA9B3A" w14:textId="77777777" w:rsidTr="00AD7C08">
        <w:trPr>
          <w:trHeight w:val="620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02486B97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54264C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Počet kusů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4DEC0E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Cena za 1 ks bez DPH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65B9A4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Cena za 1 ks vč. DPH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8F9947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DPH celkem</w:t>
            </w:r>
          </w:p>
        </w:tc>
        <w:tc>
          <w:tcPr>
            <w:tcW w:w="2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EF80451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Cena vč. DPH celkem</w:t>
            </w:r>
          </w:p>
        </w:tc>
      </w:tr>
      <w:tr w:rsidR="008D316F" w:rsidRPr="00167E98" w14:paraId="6DDE7913" w14:textId="77777777" w:rsidTr="00AD7C08">
        <w:trPr>
          <w:trHeight w:val="620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66B1C706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Žákovská lavice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2D31E8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536BE3">
              <w:rPr>
                <w:rFonts w:cs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9E06D5E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1D0920F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7FF3F0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2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CBDF14B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</w:tr>
      <w:tr w:rsidR="008D316F" w:rsidRPr="00167E98" w14:paraId="55B0B359" w14:textId="77777777" w:rsidTr="00AD7C08">
        <w:trPr>
          <w:trHeight w:val="620"/>
          <w:jc w:val="center"/>
        </w:trPr>
        <w:tc>
          <w:tcPr>
            <w:tcW w:w="12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0AD7BBE7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</w:rPr>
              <w:t>Stůl pro učitele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15032E9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536BE3">
              <w:rPr>
                <w:rFonts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BDCBA4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83A38DB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 w:rsidRPr="00167E98"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CA40113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  <w:r>
              <w:rPr>
                <w:rFonts w:cs="Calibri"/>
                <w:b/>
                <w:bCs/>
                <w:sz w:val="24"/>
                <w:szCs w:val="24"/>
                <w:highlight w:val="cyan"/>
              </w:rPr>
              <w:t>…</w:t>
            </w:r>
          </w:p>
        </w:tc>
        <w:tc>
          <w:tcPr>
            <w:tcW w:w="208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ACA15BD" w14:textId="77777777" w:rsidR="008D316F" w:rsidRPr="00167E98" w:rsidRDefault="008D316F" w:rsidP="00AD7C08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  <w:highlight w:val="cyan"/>
              </w:rPr>
            </w:pPr>
          </w:p>
        </w:tc>
      </w:tr>
    </w:tbl>
    <w:p w14:paraId="6307B01C" w14:textId="77777777" w:rsidR="008D316F" w:rsidRDefault="008D316F" w:rsidP="00CE139B">
      <w:pPr>
        <w:autoSpaceDE w:val="0"/>
        <w:autoSpaceDN w:val="0"/>
        <w:adjustRightInd w:val="0"/>
        <w:spacing w:after="0"/>
        <w:jc w:val="both"/>
      </w:pPr>
    </w:p>
    <w:p w14:paraId="31A17DC1" w14:textId="2A9CF8F6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2. Smluvní strany ujednaly, že záloha na cenu díla nebude poskytnuta, s čímž zhotovitel</w:t>
      </w:r>
      <w:r w:rsidR="005C2FAB">
        <w:t xml:space="preserve"> </w:t>
      </w:r>
      <w:r>
        <w:t>souhlasí.</w:t>
      </w:r>
    </w:p>
    <w:p w14:paraId="2114B3CA" w14:textId="2EB3A96D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3. Podmínky, při jejichž splnění je možné překročit výši nabídkové ceny zhotovitele: nabídkovou</w:t>
      </w:r>
      <w:r w:rsidR="005C2FAB">
        <w:t xml:space="preserve"> </w:t>
      </w:r>
      <w:r>
        <w:t>cenu je možné překročit pouze v případě, že:</w:t>
      </w:r>
    </w:p>
    <w:p w14:paraId="2A51BD77" w14:textId="2ACC34CF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a) dojde před nebo v průběhu realizace zakázky ke změnám sazeb DPH, nebo ke změnám</w:t>
      </w:r>
      <w:r w:rsidR="005C2FAB">
        <w:t xml:space="preserve"> </w:t>
      </w:r>
      <w:r>
        <w:t>jiných daňových předpisů,</w:t>
      </w:r>
    </w:p>
    <w:p w14:paraId="158FC2A0" w14:textId="214ABC6D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b) objednatel bude písemně po zhotoviteli požadovat dodání prvků, které nebyly součástí</w:t>
      </w:r>
      <w:r w:rsidR="005C2FAB">
        <w:t xml:space="preserve"> </w:t>
      </w:r>
      <w:r>
        <w:t>sjednaného předmětu plnění.</w:t>
      </w:r>
    </w:p>
    <w:p w14:paraId="5A0978F3" w14:textId="77777777" w:rsidR="005C2FAB" w:rsidRDefault="005C2FAB" w:rsidP="00CE139B">
      <w:pPr>
        <w:autoSpaceDE w:val="0"/>
        <w:autoSpaceDN w:val="0"/>
        <w:adjustRightInd w:val="0"/>
        <w:spacing w:after="0"/>
        <w:jc w:val="both"/>
      </w:pPr>
    </w:p>
    <w:p w14:paraId="472A237B" w14:textId="3871F00C" w:rsidR="00CE139B" w:rsidRDefault="005C2FAB" w:rsidP="005C2FAB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>I</w:t>
      </w:r>
      <w:r w:rsidR="00CE139B" w:rsidRPr="005C2FAB">
        <w:rPr>
          <w:b/>
          <w:bCs/>
        </w:rPr>
        <w:t>V. Fakturace a placení:</w:t>
      </w:r>
    </w:p>
    <w:p w14:paraId="62A25C9C" w14:textId="77777777" w:rsidR="008E78E9" w:rsidRPr="005C2FAB" w:rsidRDefault="008E78E9" w:rsidP="005C2FAB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31EF96CD" w14:textId="58EF9042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 xml:space="preserve">1. Právo na vystavení konečné faktury vzniká zhotoviteli po řádném dokončení díla, resp. </w:t>
      </w:r>
      <w:r w:rsidR="005C2FAB">
        <w:t>p</w:t>
      </w:r>
      <w:r>
        <w:t>o</w:t>
      </w:r>
      <w:r w:rsidR="005C2FAB">
        <w:t xml:space="preserve"> </w:t>
      </w:r>
      <w:r>
        <w:t>protokolárním předání a převzetí díla bez vad a nedodělků objednatelem.</w:t>
      </w:r>
    </w:p>
    <w:p w14:paraId="38AABDDD" w14:textId="3A5B7ACC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 xml:space="preserve">2. Splatnost faktury činí </w:t>
      </w:r>
      <w:r w:rsidR="004E01FF">
        <w:t>14</w:t>
      </w:r>
      <w:r>
        <w:t xml:space="preserve"> kalendářních dnů ode dne jejího doručení/předání objednateli. Stejná</w:t>
      </w:r>
      <w:r w:rsidR="005C2FAB">
        <w:t xml:space="preserve"> </w:t>
      </w:r>
      <w:r>
        <w:t>lhůta splatnosti platí i při placení jiných plateb (smluvních pokut, úroků z prodlení, náhrady</w:t>
      </w:r>
      <w:r w:rsidR="005C2FAB">
        <w:t xml:space="preserve"> </w:t>
      </w:r>
      <w:r>
        <w:t>škody apod.).</w:t>
      </w:r>
    </w:p>
    <w:p w14:paraId="448D6F08" w14:textId="331DC683" w:rsidR="00CE139B" w:rsidRDefault="005C2FAB" w:rsidP="00CE139B">
      <w:pPr>
        <w:autoSpaceDE w:val="0"/>
        <w:autoSpaceDN w:val="0"/>
        <w:adjustRightInd w:val="0"/>
        <w:spacing w:after="0"/>
        <w:jc w:val="both"/>
      </w:pPr>
      <w:r>
        <w:t>3</w:t>
      </w:r>
      <w:r w:rsidR="00CE139B">
        <w:t>. Zhotovitel odpovídá za to, že sazba daně z přidané hodnoty bude stanovena v</w:t>
      </w:r>
      <w:r>
        <w:t> </w:t>
      </w:r>
      <w:r w:rsidR="00CE139B">
        <w:t>souladu</w:t>
      </w:r>
      <w:r>
        <w:t xml:space="preserve"> </w:t>
      </w:r>
      <w:r w:rsidR="00CE139B">
        <w:t>s platnými právními předpisy. V případě, že dojde ke změně zákonné sazby DPH, je zhotovitel</w:t>
      </w:r>
      <w:r>
        <w:t xml:space="preserve"> </w:t>
      </w:r>
      <w:r w:rsidR="00CE139B">
        <w:t>k ceně bez DPH povinen účtovat DPH v platné výši. Smluvní strany se dohodly, že v</w:t>
      </w:r>
      <w:r>
        <w:t> </w:t>
      </w:r>
      <w:r w:rsidR="00CE139B">
        <w:t>případě</w:t>
      </w:r>
      <w:r>
        <w:t xml:space="preserve"> </w:t>
      </w:r>
      <w:r w:rsidR="00CE139B">
        <w:t>změny ceny díla v důsledku změny sazby DPH není nutno ke smlouvě uzavírat dodatek.</w:t>
      </w:r>
    </w:p>
    <w:p w14:paraId="14D9EAC0" w14:textId="04C62A1E" w:rsidR="00CE139B" w:rsidRDefault="005C2FAB" w:rsidP="00CE139B">
      <w:pPr>
        <w:autoSpaceDE w:val="0"/>
        <w:autoSpaceDN w:val="0"/>
        <w:adjustRightInd w:val="0"/>
        <w:spacing w:after="0"/>
        <w:jc w:val="both"/>
      </w:pPr>
      <w:r>
        <w:lastRenderedPageBreak/>
        <w:t>4</w:t>
      </w:r>
      <w:r w:rsidR="00CE139B">
        <w:t>. Faktura se považuje za uhrazenou okamžikem odepsání fakturované částky z</w:t>
      </w:r>
      <w:r>
        <w:t> </w:t>
      </w:r>
      <w:r w:rsidR="00CE139B">
        <w:t>účtu</w:t>
      </w:r>
      <w:r>
        <w:t xml:space="preserve"> </w:t>
      </w:r>
      <w:r w:rsidR="00CE139B">
        <w:t>objednatele a jejím směrováním na účet zhotovitele.</w:t>
      </w:r>
    </w:p>
    <w:p w14:paraId="62B72159" w14:textId="5A2528AE" w:rsidR="00CE139B" w:rsidRDefault="007A5AFE" w:rsidP="00CE139B">
      <w:pPr>
        <w:autoSpaceDE w:val="0"/>
        <w:autoSpaceDN w:val="0"/>
        <w:adjustRightInd w:val="0"/>
        <w:spacing w:after="0"/>
        <w:jc w:val="both"/>
      </w:pPr>
      <w:r>
        <w:t>5</w:t>
      </w:r>
      <w:r w:rsidR="00CE139B">
        <w:t>. Faktura musí obsahovat všechny náležitosti řádného daňového dokladu dle zákona</w:t>
      </w:r>
      <w:r>
        <w:t xml:space="preserve"> </w:t>
      </w:r>
      <w:r w:rsidR="00CE139B">
        <w:t>č. 235/2004 Sb., o dani z přidané hodnoty, ve znění pozdějších předpisů, a náležitosti</w:t>
      </w:r>
      <w:r>
        <w:t xml:space="preserve"> </w:t>
      </w:r>
      <w:r w:rsidR="00CE139B">
        <w:t>stanovené § 435 občanského zákoníku.</w:t>
      </w:r>
    </w:p>
    <w:p w14:paraId="7CC6AFFF" w14:textId="5A87B7FF" w:rsidR="00CE139B" w:rsidRDefault="004E66FE" w:rsidP="00CE139B">
      <w:pPr>
        <w:autoSpaceDE w:val="0"/>
        <w:autoSpaceDN w:val="0"/>
        <w:adjustRightInd w:val="0"/>
        <w:spacing w:after="0"/>
        <w:jc w:val="both"/>
      </w:pPr>
      <w:r>
        <w:t>6</w:t>
      </w:r>
      <w:r w:rsidR="00CE139B">
        <w:t>. Objednatel si vyhrazuje právo vrátit zhotoviteli daňový doklad – fakturu, který nebude</w:t>
      </w:r>
      <w:r>
        <w:t xml:space="preserve"> </w:t>
      </w:r>
      <w:r w:rsidR="00CE139B">
        <w:t>obsahovat některý údaj nebo přílohu uvedenou ve smlouvě nebo má jiné závady v obsahu. Při</w:t>
      </w:r>
      <w:r>
        <w:t xml:space="preserve"> </w:t>
      </w:r>
      <w:r w:rsidR="00CE139B">
        <w:t>vrácení faktury objednatel uvede důvod jejího vrácení a v případě oprávněného vrácení</w:t>
      </w:r>
      <w:r>
        <w:t xml:space="preserve"> </w:t>
      </w:r>
      <w:r w:rsidR="00CE139B">
        <w:t>zhotovitel vystaví fakturu novou. Oprávněným vrácením faktury přestává běžet původní lhůta</w:t>
      </w:r>
      <w:r>
        <w:t xml:space="preserve"> </w:t>
      </w:r>
      <w:r w:rsidR="00CE139B">
        <w:t>splatnosti a běží znovu ode dne doručení nové faktury objednateli. Zhotovitel je povinen novou</w:t>
      </w:r>
      <w:r>
        <w:t xml:space="preserve"> </w:t>
      </w:r>
      <w:r w:rsidR="00CE139B">
        <w:t>fakturu doručit objednateli do 10 dnů ode dne, kdy mu byla doručena oprávněně vrácená</w:t>
      </w:r>
      <w:r>
        <w:t xml:space="preserve"> </w:t>
      </w:r>
      <w:r w:rsidR="00CE139B">
        <w:t>faktura.</w:t>
      </w:r>
    </w:p>
    <w:p w14:paraId="096F606C" w14:textId="577192C3" w:rsidR="00CE139B" w:rsidRDefault="004E66FE" w:rsidP="00CE139B">
      <w:pPr>
        <w:autoSpaceDE w:val="0"/>
        <w:autoSpaceDN w:val="0"/>
        <w:adjustRightInd w:val="0"/>
        <w:spacing w:after="0"/>
        <w:jc w:val="both"/>
      </w:pPr>
      <w:r>
        <w:t>7</w:t>
      </w:r>
      <w:r w:rsidR="00CE139B">
        <w:t>. Smluvní strany sjednávají, že zhotovitel není oprávněn jakékoliv jeho pohledávky vůči</w:t>
      </w:r>
      <w:r>
        <w:t xml:space="preserve"> </w:t>
      </w:r>
      <w:r w:rsidR="00CE139B">
        <w:t>objednateli, které vzniknou na základě této uzavřené smlouvy, započítat vůči pohledávkám</w:t>
      </w:r>
      <w:r>
        <w:t xml:space="preserve"> </w:t>
      </w:r>
      <w:r w:rsidR="00CE139B">
        <w:t>objednatele vůči zhotoviteli, jednostranným právním úkonem.</w:t>
      </w:r>
    </w:p>
    <w:p w14:paraId="2917397C" w14:textId="77777777" w:rsidR="004E66FE" w:rsidRDefault="004E66FE" w:rsidP="00CE139B">
      <w:pPr>
        <w:autoSpaceDE w:val="0"/>
        <w:autoSpaceDN w:val="0"/>
        <w:adjustRightInd w:val="0"/>
        <w:spacing w:after="0"/>
        <w:jc w:val="both"/>
      </w:pPr>
    </w:p>
    <w:p w14:paraId="10D2CF73" w14:textId="3B182A64" w:rsidR="00CE139B" w:rsidRDefault="00CE139B" w:rsidP="004E66FE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4E66FE">
        <w:rPr>
          <w:b/>
          <w:bCs/>
        </w:rPr>
        <w:t>V. Nabytí vlastnického práva k předmětu díla:</w:t>
      </w:r>
    </w:p>
    <w:p w14:paraId="5064C68C" w14:textId="77777777" w:rsidR="008E78E9" w:rsidRPr="004E66FE" w:rsidRDefault="008E78E9" w:rsidP="004E66FE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339C1D30" w14:textId="6686A97E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1. Smluvní strany ujednaly, že objednatel nabývá vlastnického práva k dílu dle této smlouvy</w:t>
      </w:r>
      <w:r w:rsidR="00DC7948">
        <w:t xml:space="preserve"> </w:t>
      </w:r>
      <w:r>
        <w:t>úplným zaplacením ceny díla dle čl. I</w:t>
      </w:r>
      <w:r w:rsidR="00DC7948">
        <w:t>II</w:t>
      </w:r>
      <w:r>
        <w:t>. této smlouvy.</w:t>
      </w:r>
    </w:p>
    <w:p w14:paraId="688FF9D6" w14:textId="77777777" w:rsidR="00DC7948" w:rsidRDefault="00DC7948" w:rsidP="00CE139B">
      <w:pPr>
        <w:autoSpaceDE w:val="0"/>
        <w:autoSpaceDN w:val="0"/>
        <w:adjustRightInd w:val="0"/>
        <w:spacing w:after="0"/>
        <w:jc w:val="both"/>
      </w:pPr>
    </w:p>
    <w:p w14:paraId="07187BA2" w14:textId="57212B1A" w:rsidR="00CE139B" w:rsidRDefault="00CE139B" w:rsidP="00DC7948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DC7948">
        <w:rPr>
          <w:b/>
          <w:bCs/>
        </w:rPr>
        <w:t>VI. Záruční podmínky:</w:t>
      </w:r>
    </w:p>
    <w:p w14:paraId="3C791037" w14:textId="77777777" w:rsidR="008E78E9" w:rsidRPr="00DC7948" w:rsidRDefault="008E78E9" w:rsidP="00DC7948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514B9B04" w14:textId="77777777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1. Zhotovitel poskytuje objednateli záruku za jakost díla v délce 24 měsíců.</w:t>
      </w:r>
    </w:p>
    <w:p w14:paraId="396282B6" w14:textId="3A3DAD39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2. Záruční doba začíná běžet ode dne převzetí díla nebo dnem odstranění poslední vady díla</w:t>
      </w:r>
      <w:r w:rsidR="00DC7948">
        <w:t xml:space="preserve"> </w:t>
      </w:r>
      <w:r>
        <w:t>uvedené v</w:t>
      </w:r>
      <w:r w:rsidR="00DC7948">
        <w:t> </w:t>
      </w:r>
      <w:r>
        <w:t>Protokolu</w:t>
      </w:r>
      <w:r w:rsidR="00DC7948">
        <w:t xml:space="preserve"> dle II./6 této smlouvy</w:t>
      </w:r>
      <w:r>
        <w:t>, v závislosti na tom, která z uvedených právních skutečností nastane</w:t>
      </w:r>
    </w:p>
    <w:p w14:paraId="32B9A8CD" w14:textId="75B9ABF5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později. Pro části díla, které mají vlastní záruční listy se záruční dobou delší, platí tato delší</w:t>
      </w:r>
      <w:r w:rsidR="00DC7948">
        <w:t xml:space="preserve"> </w:t>
      </w:r>
      <w:r>
        <w:t>záruční doba.</w:t>
      </w:r>
    </w:p>
    <w:p w14:paraId="053853E4" w14:textId="506F77A5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3. Veškeré vady je objednatel povinen uplatnit u zhotovitele bez zbytečného odkladu poté, kdy</w:t>
      </w:r>
      <w:r w:rsidR="00DC7948">
        <w:t xml:space="preserve"> </w:t>
      </w:r>
      <w:r>
        <w:t>vadu zjistil, a to formou písemného oznámení (popř. e-mailem) obsahujícího</w:t>
      </w:r>
      <w:r w:rsidR="00DC7948">
        <w:t xml:space="preserve"> </w:t>
      </w:r>
      <w:r>
        <w:t>co nejpodrobnější specifikaci zjištěné vady (dále též „reklamace“). Jakmile objednatel odešle</w:t>
      </w:r>
      <w:r w:rsidR="00DC7948">
        <w:t xml:space="preserve"> </w:t>
      </w:r>
      <w:r>
        <w:t>toto oznámení, bude se mít za to, že požaduje bezplatné odstranění vady, neuvede-li v</w:t>
      </w:r>
      <w:r w:rsidR="00DC7948">
        <w:t xml:space="preserve"> </w:t>
      </w:r>
      <w:r>
        <w:t>oznámení jinak.</w:t>
      </w:r>
    </w:p>
    <w:p w14:paraId="56ED086B" w14:textId="15A7190F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 xml:space="preserve">4. Zhotovitel je povinen nejpozději do </w:t>
      </w:r>
      <w:r w:rsidR="00DC7948">
        <w:t>10</w:t>
      </w:r>
      <w:r>
        <w:t xml:space="preserve"> kalendářních dnů po obdržení reklamace písemně</w:t>
      </w:r>
      <w:r w:rsidR="00DC7948">
        <w:t xml:space="preserve"> </w:t>
      </w:r>
      <w:r>
        <w:t>oznámit objednateli</w:t>
      </w:r>
      <w:r w:rsidR="00DC7948">
        <w:t>,</w:t>
      </w:r>
      <w:r>
        <w:t xml:space="preserve"> a to e-mailem na adresu kontaktní osoby objednavatele, zda reklamaci</w:t>
      </w:r>
      <w:r w:rsidR="00DC7948">
        <w:t xml:space="preserve"> </w:t>
      </w:r>
      <w:r>
        <w:t>uznává či neuznává. Pokud tak neučiní ve stanovené lhůtě, má se za to, že reklamaci uznává.</w:t>
      </w:r>
    </w:p>
    <w:p w14:paraId="7751E179" w14:textId="1D242378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5. Zhotovitel nastoupí k odstranění vad(y) do 5 pracovních dnů od nahlášení vady, nedohodnou</w:t>
      </w:r>
      <w:r w:rsidR="00407F2A">
        <w:t>-</w:t>
      </w:r>
      <w:r>
        <w:t>li se smluvní strany jinak. Nastoupit k odstranění vady v tomto termínu je zhotovitel povinen</w:t>
      </w:r>
      <w:r w:rsidR="008A34E7">
        <w:t xml:space="preserve"> </w:t>
      </w:r>
      <w:r>
        <w:t>bez ohledu na to, zda reklamaci uznává či neuznává.</w:t>
      </w:r>
    </w:p>
    <w:p w14:paraId="5050D3CC" w14:textId="638C2301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6. Objednatel je povinen umožnit pracovníkům zhotovitele přístup do prostor nezbytných pro</w:t>
      </w:r>
      <w:r w:rsidR="00407F2A">
        <w:t xml:space="preserve"> </w:t>
      </w:r>
      <w:r>
        <w:t>odstranění vady. Nenastoupí-li zhotovitel k odstranění vady v termínu dle předchozího</w:t>
      </w:r>
      <w:r w:rsidR="00407F2A">
        <w:t xml:space="preserve"> </w:t>
      </w:r>
      <w:r>
        <w:t xml:space="preserve">odstavce, resp. </w:t>
      </w:r>
      <w:r>
        <w:lastRenderedPageBreak/>
        <w:t>v dohodnutém termínu, je objednatel oprávněn odstranění vady zajistit u jiné</w:t>
      </w:r>
      <w:r w:rsidR="00407F2A">
        <w:t xml:space="preserve"> </w:t>
      </w:r>
      <w:r>
        <w:t>odborné osoby na náklady zhotovitele.</w:t>
      </w:r>
    </w:p>
    <w:p w14:paraId="47DA2156" w14:textId="77777777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7. O odstranění reklamované vady se sepíší smluvní strany protokol.</w:t>
      </w:r>
    </w:p>
    <w:p w14:paraId="1F7F12EF" w14:textId="7CF478E4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8. Neshodnou-li se smluvní strany v otázce uznatelnosti reklamace, nese náklady na odstranění</w:t>
      </w:r>
      <w:r w:rsidR="00407F2A">
        <w:t xml:space="preserve"> </w:t>
      </w:r>
      <w:r>
        <w:t>reklamované vady v těchto sporných případech zhotovitel až do případného rozhodnutí</w:t>
      </w:r>
      <w:r w:rsidR="00407F2A">
        <w:t xml:space="preserve"> </w:t>
      </w:r>
      <w:r>
        <w:t>soudu. Prokáže-li se, že objednatel reklamoval neoprávněně, je povinen uhradit zhotoviteli</w:t>
      </w:r>
      <w:r w:rsidR="00407F2A">
        <w:t xml:space="preserve"> </w:t>
      </w:r>
      <w:r>
        <w:t>veškeré jemu v souvislosti s odstraněním vady vzniklé náklady.</w:t>
      </w:r>
    </w:p>
    <w:p w14:paraId="3AEE6993" w14:textId="2245B462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9. Zhotovitel je povinen uhradit objednateli škodu, která mu vznikla vadným vykonáním díla, a to</w:t>
      </w:r>
      <w:r w:rsidR="00407F2A">
        <w:t xml:space="preserve"> </w:t>
      </w:r>
      <w:r>
        <w:t>v plné výši. Zhotovitel rovněž objednateli uhradí náklady vzniklé při uplatňování práv</w:t>
      </w:r>
      <w:r w:rsidR="00407F2A">
        <w:t xml:space="preserve"> </w:t>
      </w:r>
      <w:r>
        <w:t>z odpovědnosti za vady.</w:t>
      </w:r>
    </w:p>
    <w:p w14:paraId="1BFE257B" w14:textId="77777777" w:rsidR="008E78E9" w:rsidRDefault="008E78E9" w:rsidP="00CE139B">
      <w:pPr>
        <w:autoSpaceDE w:val="0"/>
        <w:autoSpaceDN w:val="0"/>
        <w:adjustRightInd w:val="0"/>
        <w:spacing w:after="0"/>
        <w:jc w:val="both"/>
      </w:pPr>
    </w:p>
    <w:p w14:paraId="6755106E" w14:textId="6725DA08" w:rsidR="00CE139B" w:rsidRDefault="00CE139B" w:rsidP="00407F2A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407F2A">
        <w:rPr>
          <w:b/>
          <w:bCs/>
        </w:rPr>
        <w:t>VII. Sankce:</w:t>
      </w:r>
    </w:p>
    <w:p w14:paraId="5EDDF7CE" w14:textId="77777777" w:rsidR="008E78E9" w:rsidRPr="00407F2A" w:rsidRDefault="008E78E9" w:rsidP="00407F2A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6E73C37F" w14:textId="0FC54D0B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1. Pokud zhotovitel nepředá objednateli řádně dokončené dílo ve stanovené/sjednané lhůtě dle</w:t>
      </w:r>
      <w:r w:rsidR="007B4E0D">
        <w:t xml:space="preserve"> </w:t>
      </w:r>
      <w:r>
        <w:t>čl. II. této smlouvy, vzniká objednateli právo na zaplacení smluvní pokuty ve výši 0,0</w:t>
      </w:r>
      <w:r w:rsidR="007B4E0D">
        <w:t>3</w:t>
      </w:r>
      <w:r>
        <w:t xml:space="preserve"> % z</w:t>
      </w:r>
      <w:r w:rsidR="007B4E0D">
        <w:t xml:space="preserve"> </w:t>
      </w:r>
      <w:r>
        <w:t xml:space="preserve">ceny díla včetně DPH stanovené v čl. </w:t>
      </w:r>
      <w:r w:rsidR="007B4E0D">
        <w:t>III</w:t>
      </w:r>
      <w:r>
        <w:t>. této smlouvy, a to za každý i jen započatý den</w:t>
      </w:r>
      <w:r w:rsidR="007B4E0D">
        <w:t xml:space="preserve"> </w:t>
      </w:r>
      <w:r>
        <w:t>prodlení.</w:t>
      </w:r>
    </w:p>
    <w:p w14:paraId="7E306FC6" w14:textId="4E43766C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2. Pro případ prodlení zhotovitele s odstraněním vad nebo nedodělků dle této smlouvy je</w:t>
      </w:r>
      <w:r w:rsidR="007B4E0D">
        <w:t xml:space="preserve"> </w:t>
      </w:r>
      <w:r>
        <w:t>objednatel oprávněn požadovat smluvní pokutu ve výši 0,0</w:t>
      </w:r>
      <w:r w:rsidR="007B4E0D">
        <w:t>3</w:t>
      </w:r>
      <w:r>
        <w:t xml:space="preserve"> % z ceny díla včetně DPH za</w:t>
      </w:r>
      <w:r w:rsidR="007B4E0D">
        <w:t xml:space="preserve"> </w:t>
      </w:r>
      <w:r>
        <w:t>každý započatý den trvání prodlení do dne, kdy vady nebo nedodělky budou odstraněny.</w:t>
      </w:r>
    </w:p>
    <w:p w14:paraId="5ACB8BB5" w14:textId="0EB8445B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3. Pro případ prodlení zhotovitele s nástupem k odstraněním reklamace v termínu definovaném</w:t>
      </w:r>
      <w:r w:rsidR="007B4E0D">
        <w:t xml:space="preserve"> </w:t>
      </w:r>
      <w:r>
        <w:t>v článku VI. této smlouvy je objednatel oprávněn požadovat smluvní pokutu ve výši 0,0</w:t>
      </w:r>
      <w:r w:rsidR="007B4E0D">
        <w:t>3</w:t>
      </w:r>
      <w:r>
        <w:t xml:space="preserve"> %</w:t>
      </w:r>
      <w:r w:rsidR="007B4E0D">
        <w:t xml:space="preserve"> </w:t>
      </w:r>
      <w:r>
        <w:t>z ceny díla včetně DPH za každý započatý den trvání prodlení.</w:t>
      </w:r>
    </w:p>
    <w:p w14:paraId="30A2FC20" w14:textId="33080F4F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4. V případě prodlení objednatele s úhradou ceny za řádně dokončené dílo je zhotovitel oprávněn</w:t>
      </w:r>
      <w:r w:rsidR="00C16B01">
        <w:t xml:space="preserve"> </w:t>
      </w:r>
      <w:r>
        <w:t>požadovat na objednateli úrok z prodlení z dlužné částky ve výši 0,0</w:t>
      </w:r>
      <w:r w:rsidR="00C16B01">
        <w:t>3</w:t>
      </w:r>
      <w:r>
        <w:t xml:space="preserve"> % za každý </w:t>
      </w:r>
      <w:r w:rsidR="00C16B01">
        <w:t xml:space="preserve">započatý </w:t>
      </w:r>
      <w:r>
        <w:t>den prodlení.</w:t>
      </w:r>
    </w:p>
    <w:p w14:paraId="333E2958" w14:textId="5041B217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5. Objednatel a zhotovitel berou na vědomí, že uhrazením smluvních pokut, není dotčeno právo</w:t>
      </w:r>
      <w:r w:rsidR="00C16B01">
        <w:t xml:space="preserve"> </w:t>
      </w:r>
      <w:r>
        <w:t>smluvních stran na náhradu vzniklých škod v souvislosti s porušením smluvních ujednání plynoucích z této smlouvy.</w:t>
      </w:r>
    </w:p>
    <w:p w14:paraId="59839293" w14:textId="43590E81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6. Smluvní strany ujednaly, že zhotovitel není oprávněn jakékoliv své případné pohledávky vůči</w:t>
      </w:r>
      <w:r w:rsidR="00C16B01">
        <w:t xml:space="preserve"> </w:t>
      </w:r>
      <w:r>
        <w:t>objednateli, které vzniknou na základě této smlouvy, započítat vůči pohledávkám objednatele</w:t>
      </w:r>
      <w:r w:rsidR="00C16B01">
        <w:t xml:space="preserve"> </w:t>
      </w:r>
      <w:r>
        <w:t>vůči zhotoviteli, a to jednostranným právním jednáním.</w:t>
      </w:r>
    </w:p>
    <w:p w14:paraId="55B74EF7" w14:textId="77777777" w:rsidR="001C6E61" w:rsidRDefault="001C6E61" w:rsidP="00CE139B">
      <w:pPr>
        <w:autoSpaceDE w:val="0"/>
        <w:autoSpaceDN w:val="0"/>
        <w:adjustRightInd w:val="0"/>
        <w:spacing w:after="0"/>
        <w:jc w:val="both"/>
      </w:pPr>
    </w:p>
    <w:p w14:paraId="279AF968" w14:textId="17834F27" w:rsidR="00CE139B" w:rsidRDefault="001C6E61" w:rsidP="001C6E61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>VIII</w:t>
      </w:r>
      <w:r w:rsidR="00CE139B" w:rsidRPr="001C6E61">
        <w:rPr>
          <w:b/>
          <w:bCs/>
        </w:rPr>
        <w:t>. Závěrečná ustanovení:</w:t>
      </w:r>
    </w:p>
    <w:p w14:paraId="1DFFEE3E" w14:textId="77777777" w:rsidR="008E78E9" w:rsidRPr="001C6E61" w:rsidRDefault="008E78E9" w:rsidP="001C6E61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7F5EC2C0" w14:textId="5C6FF623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 xml:space="preserve">1. Tato smlouva nabývá platnosti dnem jejího podpisu </w:t>
      </w:r>
      <w:r w:rsidR="00735F8C">
        <w:t xml:space="preserve">a účinnosti uveřejněním v registru smluv. </w:t>
      </w:r>
    </w:p>
    <w:p w14:paraId="5F6D7A48" w14:textId="6A65ADBE" w:rsidR="00CE139B" w:rsidRDefault="00CE139B" w:rsidP="00CE139B">
      <w:pPr>
        <w:autoSpaceDE w:val="0"/>
        <w:autoSpaceDN w:val="0"/>
        <w:adjustRightInd w:val="0"/>
        <w:spacing w:after="0"/>
        <w:jc w:val="both"/>
      </w:pPr>
      <w:r>
        <w:t>2. Tato smlouva se řídí právním řádem České republiky, a to zejména ustanovením § 2586 a</w:t>
      </w:r>
      <w:r w:rsidR="00735F8C">
        <w:t xml:space="preserve"> </w:t>
      </w:r>
      <w:r>
        <w:t>násl. zákona č. 89/2012 Sb., občanský zákoník.</w:t>
      </w:r>
    </w:p>
    <w:p w14:paraId="6B984004" w14:textId="77777777" w:rsidR="00735F8C" w:rsidRPr="00374119" w:rsidRDefault="00CE139B" w:rsidP="00735F8C">
      <w:pPr>
        <w:autoSpaceDE w:val="0"/>
        <w:autoSpaceDN w:val="0"/>
        <w:adjustRightInd w:val="0"/>
        <w:spacing w:after="0"/>
        <w:jc w:val="both"/>
      </w:pPr>
      <w:r>
        <w:t>3. Tuto smlouvu lze měnit pouze písemnou formou, po vzájemném odsouhlasení smluvních</w:t>
      </w:r>
      <w:r w:rsidR="00735F8C">
        <w:t xml:space="preserve"> </w:t>
      </w:r>
      <w:r>
        <w:t xml:space="preserve">stran, vzestupně číslovanými </w:t>
      </w:r>
      <w:r w:rsidRPr="00374119">
        <w:t>dodatky ke smlouvě.</w:t>
      </w:r>
    </w:p>
    <w:p w14:paraId="25484BC0" w14:textId="5C1E02D2" w:rsidR="005B2B48" w:rsidRPr="00374119" w:rsidRDefault="00735F8C" w:rsidP="00735F8C">
      <w:pPr>
        <w:autoSpaceDE w:val="0"/>
        <w:autoSpaceDN w:val="0"/>
        <w:adjustRightInd w:val="0"/>
        <w:spacing w:after="0"/>
        <w:jc w:val="both"/>
      </w:pPr>
      <w:r w:rsidRPr="00374119">
        <w:t xml:space="preserve">4. </w:t>
      </w:r>
      <w:r w:rsidR="005B2B48" w:rsidRPr="00374119">
        <w:t>Nedílnou součástí této smlouvy jsou následující přílohy:</w:t>
      </w:r>
    </w:p>
    <w:p w14:paraId="618ECBB5" w14:textId="7C2D1894" w:rsidR="005B2B48" w:rsidRPr="00374119" w:rsidRDefault="005B2B48" w:rsidP="003D5B78">
      <w:pPr>
        <w:autoSpaceDE w:val="0"/>
        <w:autoSpaceDN w:val="0"/>
        <w:adjustRightInd w:val="0"/>
        <w:spacing w:after="0"/>
        <w:ind w:firstLine="708"/>
        <w:jc w:val="both"/>
      </w:pPr>
      <w:r w:rsidRPr="00374119">
        <w:t xml:space="preserve">Příloha č. 1 </w:t>
      </w:r>
      <w:bookmarkStart w:id="0" w:name="OLE_LINK5"/>
      <w:bookmarkStart w:id="1" w:name="OLE_LINK6"/>
      <w:r w:rsidRPr="00374119">
        <w:t>–</w:t>
      </w:r>
      <w:bookmarkEnd w:id="0"/>
      <w:bookmarkEnd w:id="1"/>
      <w:r w:rsidRPr="00374119">
        <w:t xml:space="preserve"> Technická specifikace </w:t>
      </w:r>
    </w:p>
    <w:p w14:paraId="3E29B91E" w14:textId="2B304590" w:rsidR="00D32C96" w:rsidRPr="00C73BE9" w:rsidRDefault="005B2B48" w:rsidP="00D32C96">
      <w:pPr>
        <w:autoSpaceDE w:val="0"/>
        <w:autoSpaceDN w:val="0"/>
        <w:adjustRightInd w:val="0"/>
        <w:spacing w:after="0"/>
        <w:ind w:firstLine="708"/>
        <w:jc w:val="both"/>
      </w:pPr>
      <w:r w:rsidRPr="00374119">
        <w:lastRenderedPageBreak/>
        <w:t xml:space="preserve">Příloha č. 2 – </w:t>
      </w:r>
      <w:r w:rsidR="00374119" w:rsidRPr="00374119">
        <w:t>Vizualizace a půdorysné rozmístění</w:t>
      </w:r>
    </w:p>
    <w:p w14:paraId="61AF8FFC" w14:textId="1DCD961C" w:rsidR="005B2B48" w:rsidRPr="00C73BE9" w:rsidRDefault="005B2B48" w:rsidP="00735F8C">
      <w:pPr>
        <w:autoSpaceDE w:val="0"/>
        <w:autoSpaceDN w:val="0"/>
        <w:adjustRightInd w:val="0"/>
        <w:spacing w:after="0"/>
        <w:jc w:val="both"/>
      </w:pPr>
    </w:p>
    <w:p w14:paraId="27339974" w14:textId="77777777" w:rsidR="005B2B48" w:rsidRPr="00C73BE9" w:rsidRDefault="005B2B48" w:rsidP="003D5B78">
      <w:pPr>
        <w:spacing w:after="0"/>
      </w:pPr>
    </w:p>
    <w:p w14:paraId="0192C7FE" w14:textId="11BF7595" w:rsidR="005B2B48" w:rsidRPr="00C73BE9" w:rsidRDefault="00CB6424" w:rsidP="003D5B78">
      <w:pPr>
        <w:spacing w:after="0"/>
      </w:pPr>
      <w:r>
        <w:t xml:space="preserve">V Brně </w:t>
      </w:r>
      <w:r w:rsidR="005B2B48" w:rsidRPr="00C73BE9">
        <w:t>dne ……………………</w:t>
      </w:r>
      <w:r w:rsidR="005B2B48" w:rsidRPr="00C73BE9">
        <w:tab/>
      </w:r>
      <w:r w:rsidR="005B2B48" w:rsidRPr="00C73BE9">
        <w:tab/>
      </w:r>
      <w:r w:rsidR="000052A5">
        <w:tab/>
      </w:r>
      <w:r w:rsidR="000052A5">
        <w:tab/>
      </w:r>
      <w:r w:rsidR="005B2B48" w:rsidRPr="00C73BE9">
        <w:t>V [</w:t>
      </w:r>
      <w:r w:rsidR="005B2B48" w:rsidRPr="00C73BE9">
        <w:rPr>
          <w:highlight w:val="cyan"/>
        </w:rPr>
        <w:t>DOPLNÍ UCHAZEČ</w:t>
      </w:r>
      <w:r w:rsidR="005B2B48" w:rsidRPr="00C73BE9">
        <w:t>] dne [</w:t>
      </w:r>
      <w:r w:rsidR="005B2B48" w:rsidRPr="00C73BE9">
        <w:rPr>
          <w:highlight w:val="cyan"/>
        </w:rPr>
        <w:t>DOPLNÍ UCHAZEČ</w:t>
      </w:r>
      <w:r w:rsidR="005B2B48" w:rsidRPr="00C73BE9">
        <w:t>]</w:t>
      </w:r>
    </w:p>
    <w:p w14:paraId="770F0E5F" w14:textId="77777777" w:rsidR="00C95EF1" w:rsidRDefault="00C95EF1" w:rsidP="003D5B78">
      <w:pPr>
        <w:spacing w:after="0"/>
      </w:pPr>
    </w:p>
    <w:p w14:paraId="17A74E13" w14:textId="77777777" w:rsidR="00400B7E" w:rsidRPr="00C73BE9" w:rsidRDefault="00400B7E" w:rsidP="003D5B78">
      <w:pPr>
        <w:spacing w:after="0"/>
      </w:pPr>
    </w:p>
    <w:p w14:paraId="086ADBCA" w14:textId="3E804276" w:rsidR="009268DF" w:rsidRDefault="005B2B48" w:rsidP="000052A5">
      <w:pPr>
        <w:spacing w:after="0"/>
        <w:rPr>
          <w:sz w:val="24"/>
          <w:szCs w:val="24"/>
        </w:rPr>
      </w:pPr>
      <w:r w:rsidRPr="00C73BE9">
        <w:t xml:space="preserve">Za </w:t>
      </w:r>
      <w:r w:rsidR="008E78E9">
        <w:t>objednatele</w:t>
      </w:r>
      <w:r w:rsidRPr="00C73BE9">
        <w:t>:</w:t>
      </w:r>
      <w:r w:rsidRPr="00C73BE9">
        <w:tab/>
      </w:r>
      <w:r w:rsidR="00C95EF1" w:rsidRPr="00C73BE9">
        <w:tab/>
      </w:r>
      <w:r w:rsidR="00C95EF1" w:rsidRPr="00C73BE9">
        <w:tab/>
      </w:r>
      <w:r w:rsidR="00C95EF1" w:rsidRPr="00C73BE9">
        <w:tab/>
      </w:r>
      <w:r w:rsidR="00C95EF1" w:rsidRPr="00C73BE9">
        <w:tab/>
      </w:r>
      <w:r w:rsidR="000052A5">
        <w:tab/>
      </w:r>
      <w:r w:rsidR="00C95EF1" w:rsidRPr="00C73BE9">
        <w:t xml:space="preserve">Za </w:t>
      </w:r>
      <w:r w:rsidR="008E78E9">
        <w:t>zhotovitele</w:t>
      </w:r>
      <w:r w:rsidR="00C95EF1" w:rsidRPr="00C73BE9">
        <w:t>:</w:t>
      </w:r>
      <w:r w:rsidR="009268DF">
        <w:rPr>
          <w:sz w:val="24"/>
          <w:szCs w:val="24"/>
        </w:rPr>
        <w:tab/>
      </w:r>
      <w:r w:rsidR="009268DF">
        <w:rPr>
          <w:sz w:val="24"/>
          <w:szCs w:val="24"/>
        </w:rPr>
        <w:tab/>
      </w:r>
    </w:p>
    <w:p w14:paraId="067E804B" w14:textId="77777777" w:rsidR="00C95EF1" w:rsidRPr="009268DF" w:rsidRDefault="009268DF" w:rsidP="009268DF">
      <w:pPr>
        <w:spacing w:after="0"/>
      </w:pPr>
      <w:r>
        <w:rPr>
          <w:sz w:val="24"/>
          <w:szCs w:val="24"/>
        </w:rPr>
        <w:tab/>
      </w:r>
      <w:r w:rsidR="00C95EF1" w:rsidRPr="00C73BE9">
        <w:rPr>
          <w:sz w:val="24"/>
          <w:szCs w:val="24"/>
        </w:rPr>
        <w:tab/>
      </w:r>
    </w:p>
    <w:p w14:paraId="3E0C81A8" w14:textId="77777777" w:rsidR="000052A5" w:rsidRDefault="000052A5" w:rsidP="009268DF">
      <w:pPr>
        <w:spacing w:after="0"/>
      </w:pPr>
    </w:p>
    <w:p w14:paraId="00D6DDA8" w14:textId="77777777" w:rsidR="005B2B48" w:rsidRPr="009268DF" w:rsidRDefault="00D32C96" w:rsidP="009268DF">
      <w:pPr>
        <w:spacing w:after="0"/>
      </w:pPr>
      <w:r w:rsidRPr="00C73BE9">
        <w:t>…………………………………………………</w:t>
      </w:r>
      <w:r w:rsidRPr="00C73BE9">
        <w:tab/>
      </w:r>
      <w:r w:rsidRPr="00C73BE9">
        <w:tab/>
      </w:r>
      <w:r w:rsidR="000052A5">
        <w:tab/>
      </w:r>
      <w:r w:rsidR="005B2B48" w:rsidRPr="00C73BE9">
        <w:t>………………………………………………</w:t>
      </w:r>
    </w:p>
    <w:p w14:paraId="4E021E6B" w14:textId="71A01370" w:rsidR="005B2B48" w:rsidRPr="00C73BE9" w:rsidRDefault="00CB6424" w:rsidP="003D5B78">
      <w:pPr>
        <w:spacing w:after="0"/>
      </w:pPr>
      <w:r w:rsidRPr="00CB6424">
        <w:t xml:space="preserve">   </w:t>
      </w:r>
      <w:r w:rsidR="004A6303" w:rsidRPr="00CB6424">
        <w:t>Ing. Roman Moliš</w:t>
      </w:r>
      <w:r w:rsidR="005B2B48" w:rsidRPr="008F1C92">
        <w:tab/>
      </w:r>
      <w:r w:rsidR="005B2B48" w:rsidRPr="00C73BE9">
        <w:tab/>
      </w:r>
      <w:r w:rsidR="005B2B48" w:rsidRPr="00C73BE9">
        <w:tab/>
      </w:r>
      <w:r w:rsidR="00B20648" w:rsidRPr="00C73BE9">
        <w:tab/>
      </w:r>
      <w:r w:rsidR="000052A5">
        <w:tab/>
      </w:r>
      <w:r w:rsidR="000052A5">
        <w:tab/>
      </w:r>
      <w:r w:rsidR="000052A5">
        <w:tab/>
      </w:r>
      <w:r w:rsidR="005B2B48" w:rsidRPr="00C73BE9">
        <w:t>[</w:t>
      </w:r>
      <w:r w:rsidR="005B2B48" w:rsidRPr="00C73BE9">
        <w:rPr>
          <w:highlight w:val="cyan"/>
        </w:rPr>
        <w:t>DOPLNÍ UCHAZEČ</w:t>
      </w:r>
      <w:r w:rsidR="005B2B48" w:rsidRPr="00C73BE9">
        <w:t>]</w:t>
      </w:r>
      <w:r w:rsidR="005B2B48" w:rsidRPr="00C73BE9">
        <w:tab/>
      </w:r>
      <w:r w:rsidR="005B2B48" w:rsidRPr="00C73BE9">
        <w:tab/>
      </w:r>
    </w:p>
    <w:sectPr w:rsidR="005B2B48" w:rsidRPr="00C73BE9" w:rsidSect="00E83A7B">
      <w:headerReference w:type="default" r:id="rId8"/>
      <w:pgSz w:w="11906" w:h="16838"/>
      <w:pgMar w:top="283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475C" w14:textId="77777777" w:rsidR="007045B8" w:rsidRDefault="007045B8" w:rsidP="005B2B48">
      <w:pPr>
        <w:spacing w:after="0" w:line="240" w:lineRule="auto"/>
      </w:pPr>
      <w:r>
        <w:separator/>
      </w:r>
    </w:p>
  </w:endnote>
  <w:endnote w:type="continuationSeparator" w:id="0">
    <w:p w14:paraId="548141EB" w14:textId="77777777" w:rsidR="007045B8" w:rsidRDefault="007045B8" w:rsidP="005B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782D" w14:textId="77777777" w:rsidR="007045B8" w:rsidRDefault="007045B8" w:rsidP="005B2B48">
      <w:pPr>
        <w:spacing w:after="0" w:line="240" w:lineRule="auto"/>
      </w:pPr>
      <w:r>
        <w:separator/>
      </w:r>
    </w:p>
  </w:footnote>
  <w:footnote w:type="continuationSeparator" w:id="0">
    <w:p w14:paraId="57C92363" w14:textId="77777777" w:rsidR="007045B8" w:rsidRDefault="007045B8" w:rsidP="005B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7E99" w14:textId="77777777" w:rsidR="005B2B48" w:rsidRPr="00752AB6" w:rsidRDefault="005B2B48" w:rsidP="00752A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0F9"/>
    <w:multiLevelType w:val="multilevel"/>
    <w:tmpl w:val="BAB8ADF8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" w15:restartNumberingAfterBreak="0">
    <w:nsid w:val="269A23FA"/>
    <w:multiLevelType w:val="multilevel"/>
    <w:tmpl w:val="B524D2E2"/>
    <w:lvl w:ilvl="0">
      <w:start w:val="7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" w15:restartNumberingAfterBreak="0">
    <w:nsid w:val="37C71C60"/>
    <w:multiLevelType w:val="multilevel"/>
    <w:tmpl w:val="AEDCD1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F46322"/>
    <w:multiLevelType w:val="multilevel"/>
    <w:tmpl w:val="F9EA17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3CB8110D"/>
    <w:multiLevelType w:val="multilevel"/>
    <w:tmpl w:val="4A421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FA5982"/>
    <w:multiLevelType w:val="multilevel"/>
    <w:tmpl w:val="DE0896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45004655"/>
    <w:multiLevelType w:val="multilevel"/>
    <w:tmpl w:val="C8A26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B10319"/>
    <w:multiLevelType w:val="multilevel"/>
    <w:tmpl w:val="ACFA5E14"/>
    <w:lvl w:ilvl="0">
      <w:start w:val="8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8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BE74A1"/>
    <w:multiLevelType w:val="multilevel"/>
    <w:tmpl w:val="32681F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654966B9"/>
    <w:multiLevelType w:val="multilevel"/>
    <w:tmpl w:val="E51020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7CF7598E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456879245">
    <w:abstractNumId w:val="8"/>
  </w:num>
  <w:num w:numId="2" w16cid:durableId="188221430">
    <w:abstractNumId w:val="11"/>
  </w:num>
  <w:num w:numId="3" w16cid:durableId="540752335">
    <w:abstractNumId w:val="13"/>
  </w:num>
  <w:num w:numId="4" w16cid:durableId="1008485320">
    <w:abstractNumId w:val="12"/>
  </w:num>
  <w:num w:numId="5" w16cid:durableId="716397191">
    <w:abstractNumId w:val="10"/>
  </w:num>
  <w:num w:numId="6" w16cid:durableId="1139422540">
    <w:abstractNumId w:val="9"/>
  </w:num>
  <w:num w:numId="7" w16cid:durableId="2085099670">
    <w:abstractNumId w:val="3"/>
  </w:num>
  <w:num w:numId="8" w16cid:durableId="793603087">
    <w:abstractNumId w:val="5"/>
  </w:num>
  <w:num w:numId="9" w16cid:durableId="1154180824">
    <w:abstractNumId w:val="0"/>
  </w:num>
  <w:num w:numId="10" w16cid:durableId="661540966">
    <w:abstractNumId w:val="1"/>
  </w:num>
  <w:num w:numId="11" w16cid:durableId="1702625815">
    <w:abstractNumId w:val="7"/>
  </w:num>
  <w:num w:numId="12" w16cid:durableId="1799906987">
    <w:abstractNumId w:val="4"/>
  </w:num>
  <w:num w:numId="13" w16cid:durableId="770901010">
    <w:abstractNumId w:val="6"/>
  </w:num>
  <w:num w:numId="14" w16cid:durableId="360666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48"/>
    <w:rsid w:val="000052A5"/>
    <w:rsid w:val="00022529"/>
    <w:rsid w:val="00032C0C"/>
    <w:rsid w:val="000475FB"/>
    <w:rsid w:val="00057BAA"/>
    <w:rsid w:val="000822F4"/>
    <w:rsid w:val="000A3ADA"/>
    <w:rsid w:val="000B6A0D"/>
    <w:rsid w:val="00114577"/>
    <w:rsid w:val="00116833"/>
    <w:rsid w:val="00116BDB"/>
    <w:rsid w:val="001319E1"/>
    <w:rsid w:val="001475AA"/>
    <w:rsid w:val="00161A8F"/>
    <w:rsid w:val="0017063A"/>
    <w:rsid w:val="001761C4"/>
    <w:rsid w:val="00180325"/>
    <w:rsid w:val="001849AD"/>
    <w:rsid w:val="001976F2"/>
    <w:rsid w:val="001A5EC6"/>
    <w:rsid w:val="001B0D53"/>
    <w:rsid w:val="001B2210"/>
    <w:rsid w:val="001B4B69"/>
    <w:rsid w:val="001C6E61"/>
    <w:rsid w:val="001D07BF"/>
    <w:rsid w:val="001F15C7"/>
    <w:rsid w:val="002036C9"/>
    <w:rsid w:val="00213201"/>
    <w:rsid w:val="00217017"/>
    <w:rsid w:val="002215CD"/>
    <w:rsid w:val="00235388"/>
    <w:rsid w:val="00237BFE"/>
    <w:rsid w:val="00262416"/>
    <w:rsid w:val="00287DD9"/>
    <w:rsid w:val="002B2438"/>
    <w:rsid w:val="002B4238"/>
    <w:rsid w:val="002B7C85"/>
    <w:rsid w:val="002C1B92"/>
    <w:rsid w:val="002C2412"/>
    <w:rsid w:val="002E41E9"/>
    <w:rsid w:val="002E7B63"/>
    <w:rsid w:val="002F0D36"/>
    <w:rsid w:val="0030398D"/>
    <w:rsid w:val="00304CCC"/>
    <w:rsid w:val="00327B9E"/>
    <w:rsid w:val="00334509"/>
    <w:rsid w:val="00345455"/>
    <w:rsid w:val="00355831"/>
    <w:rsid w:val="00356683"/>
    <w:rsid w:val="003622FD"/>
    <w:rsid w:val="0036349E"/>
    <w:rsid w:val="0036573E"/>
    <w:rsid w:val="00371DE3"/>
    <w:rsid w:val="00374119"/>
    <w:rsid w:val="00391E6D"/>
    <w:rsid w:val="003A0212"/>
    <w:rsid w:val="003B5267"/>
    <w:rsid w:val="003D5B78"/>
    <w:rsid w:val="003D6EBD"/>
    <w:rsid w:val="003E286F"/>
    <w:rsid w:val="003E7125"/>
    <w:rsid w:val="003F0941"/>
    <w:rsid w:val="003F1311"/>
    <w:rsid w:val="00400B7E"/>
    <w:rsid w:val="00404129"/>
    <w:rsid w:val="00407F2A"/>
    <w:rsid w:val="00417B8D"/>
    <w:rsid w:val="004377C3"/>
    <w:rsid w:val="00445EE1"/>
    <w:rsid w:val="00476683"/>
    <w:rsid w:val="00477370"/>
    <w:rsid w:val="004A5E97"/>
    <w:rsid w:val="004A6303"/>
    <w:rsid w:val="004B3CCB"/>
    <w:rsid w:val="004C23E5"/>
    <w:rsid w:val="004C28D8"/>
    <w:rsid w:val="004C43AB"/>
    <w:rsid w:val="004D1F15"/>
    <w:rsid w:val="004D7B9F"/>
    <w:rsid w:val="004D7BA8"/>
    <w:rsid w:val="004E01FF"/>
    <w:rsid w:val="004E66FE"/>
    <w:rsid w:val="00505985"/>
    <w:rsid w:val="00523A53"/>
    <w:rsid w:val="005318A2"/>
    <w:rsid w:val="0054112D"/>
    <w:rsid w:val="00541531"/>
    <w:rsid w:val="00547E5A"/>
    <w:rsid w:val="005609BE"/>
    <w:rsid w:val="00564653"/>
    <w:rsid w:val="00573595"/>
    <w:rsid w:val="005827BE"/>
    <w:rsid w:val="00582883"/>
    <w:rsid w:val="0058483F"/>
    <w:rsid w:val="005A0CC5"/>
    <w:rsid w:val="005A27AB"/>
    <w:rsid w:val="005A48FF"/>
    <w:rsid w:val="005B2B48"/>
    <w:rsid w:val="005C2FAB"/>
    <w:rsid w:val="005E268C"/>
    <w:rsid w:val="005F2137"/>
    <w:rsid w:val="0061198C"/>
    <w:rsid w:val="00611F9A"/>
    <w:rsid w:val="00624F20"/>
    <w:rsid w:val="00632233"/>
    <w:rsid w:val="00656BC6"/>
    <w:rsid w:val="00666183"/>
    <w:rsid w:val="00674E63"/>
    <w:rsid w:val="006769F7"/>
    <w:rsid w:val="00682F53"/>
    <w:rsid w:val="006B2462"/>
    <w:rsid w:val="006B4E7B"/>
    <w:rsid w:val="006B7412"/>
    <w:rsid w:val="006C0273"/>
    <w:rsid w:val="006C4BE6"/>
    <w:rsid w:val="006C52EF"/>
    <w:rsid w:val="006D7ED6"/>
    <w:rsid w:val="006F0B5F"/>
    <w:rsid w:val="00701603"/>
    <w:rsid w:val="007045B8"/>
    <w:rsid w:val="00704BB7"/>
    <w:rsid w:val="00706226"/>
    <w:rsid w:val="007173CA"/>
    <w:rsid w:val="007202C9"/>
    <w:rsid w:val="0072267F"/>
    <w:rsid w:val="00735F8C"/>
    <w:rsid w:val="00737DE3"/>
    <w:rsid w:val="00750BBA"/>
    <w:rsid w:val="00752AB6"/>
    <w:rsid w:val="00774EC3"/>
    <w:rsid w:val="00775AB9"/>
    <w:rsid w:val="0078177B"/>
    <w:rsid w:val="00795545"/>
    <w:rsid w:val="007A5AFE"/>
    <w:rsid w:val="007B4E0D"/>
    <w:rsid w:val="007C1E8E"/>
    <w:rsid w:val="007D5F26"/>
    <w:rsid w:val="007E13B2"/>
    <w:rsid w:val="007E3A72"/>
    <w:rsid w:val="007E7747"/>
    <w:rsid w:val="00804F61"/>
    <w:rsid w:val="008076D1"/>
    <w:rsid w:val="00814FE1"/>
    <w:rsid w:val="00827841"/>
    <w:rsid w:val="0085194D"/>
    <w:rsid w:val="008856C1"/>
    <w:rsid w:val="00887095"/>
    <w:rsid w:val="00893708"/>
    <w:rsid w:val="008A34E7"/>
    <w:rsid w:val="008A5919"/>
    <w:rsid w:val="008C76B0"/>
    <w:rsid w:val="008D14EC"/>
    <w:rsid w:val="008D18C3"/>
    <w:rsid w:val="008D2ABB"/>
    <w:rsid w:val="008D316F"/>
    <w:rsid w:val="008E78E9"/>
    <w:rsid w:val="008F1C92"/>
    <w:rsid w:val="00914FF3"/>
    <w:rsid w:val="009268DF"/>
    <w:rsid w:val="0095365B"/>
    <w:rsid w:val="009573F8"/>
    <w:rsid w:val="00960831"/>
    <w:rsid w:val="009769D1"/>
    <w:rsid w:val="009930A7"/>
    <w:rsid w:val="00994CDF"/>
    <w:rsid w:val="009B03A1"/>
    <w:rsid w:val="009B696E"/>
    <w:rsid w:val="009D7D29"/>
    <w:rsid w:val="009F61AE"/>
    <w:rsid w:val="00A0643A"/>
    <w:rsid w:val="00A11942"/>
    <w:rsid w:val="00A1240D"/>
    <w:rsid w:val="00A255EC"/>
    <w:rsid w:val="00A31903"/>
    <w:rsid w:val="00A31CC2"/>
    <w:rsid w:val="00A3668C"/>
    <w:rsid w:val="00A3752B"/>
    <w:rsid w:val="00A4741B"/>
    <w:rsid w:val="00A514AA"/>
    <w:rsid w:val="00A5767E"/>
    <w:rsid w:val="00A65A45"/>
    <w:rsid w:val="00A90D61"/>
    <w:rsid w:val="00A93A3A"/>
    <w:rsid w:val="00AB1AFF"/>
    <w:rsid w:val="00AC31A2"/>
    <w:rsid w:val="00AC40B7"/>
    <w:rsid w:val="00AC5F13"/>
    <w:rsid w:val="00AC6BAC"/>
    <w:rsid w:val="00AD05E6"/>
    <w:rsid w:val="00B0556D"/>
    <w:rsid w:val="00B16036"/>
    <w:rsid w:val="00B20648"/>
    <w:rsid w:val="00B36BC5"/>
    <w:rsid w:val="00B56D35"/>
    <w:rsid w:val="00B7192B"/>
    <w:rsid w:val="00B7766D"/>
    <w:rsid w:val="00B861F3"/>
    <w:rsid w:val="00B97938"/>
    <w:rsid w:val="00BD17C4"/>
    <w:rsid w:val="00BE6366"/>
    <w:rsid w:val="00C16B01"/>
    <w:rsid w:val="00C179DE"/>
    <w:rsid w:val="00C21A1F"/>
    <w:rsid w:val="00C249CD"/>
    <w:rsid w:val="00C27403"/>
    <w:rsid w:val="00C3047D"/>
    <w:rsid w:val="00C317C0"/>
    <w:rsid w:val="00C438CC"/>
    <w:rsid w:val="00C514FF"/>
    <w:rsid w:val="00C54597"/>
    <w:rsid w:val="00C62739"/>
    <w:rsid w:val="00C73BE9"/>
    <w:rsid w:val="00C838C7"/>
    <w:rsid w:val="00C92E0B"/>
    <w:rsid w:val="00C95EF1"/>
    <w:rsid w:val="00CB0E89"/>
    <w:rsid w:val="00CB215F"/>
    <w:rsid w:val="00CB6424"/>
    <w:rsid w:val="00CC62E0"/>
    <w:rsid w:val="00CE139B"/>
    <w:rsid w:val="00CF23F5"/>
    <w:rsid w:val="00D1692B"/>
    <w:rsid w:val="00D17CFF"/>
    <w:rsid w:val="00D20944"/>
    <w:rsid w:val="00D32C96"/>
    <w:rsid w:val="00D44EDE"/>
    <w:rsid w:val="00D47AE4"/>
    <w:rsid w:val="00D61E3A"/>
    <w:rsid w:val="00D62032"/>
    <w:rsid w:val="00D637F2"/>
    <w:rsid w:val="00D77FEE"/>
    <w:rsid w:val="00D8017F"/>
    <w:rsid w:val="00D8655C"/>
    <w:rsid w:val="00D96966"/>
    <w:rsid w:val="00DA3392"/>
    <w:rsid w:val="00DB07C8"/>
    <w:rsid w:val="00DB1CEE"/>
    <w:rsid w:val="00DC4305"/>
    <w:rsid w:val="00DC6DB0"/>
    <w:rsid w:val="00DC6EC0"/>
    <w:rsid w:val="00DC7948"/>
    <w:rsid w:val="00DD2197"/>
    <w:rsid w:val="00DE59F9"/>
    <w:rsid w:val="00E32322"/>
    <w:rsid w:val="00E47286"/>
    <w:rsid w:val="00E50F4D"/>
    <w:rsid w:val="00E52177"/>
    <w:rsid w:val="00E7586E"/>
    <w:rsid w:val="00E777B5"/>
    <w:rsid w:val="00E83A7B"/>
    <w:rsid w:val="00E90F90"/>
    <w:rsid w:val="00EA36C3"/>
    <w:rsid w:val="00EB6892"/>
    <w:rsid w:val="00ED422E"/>
    <w:rsid w:val="00ED6BA6"/>
    <w:rsid w:val="00EE260F"/>
    <w:rsid w:val="00EF222E"/>
    <w:rsid w:val="00F01931"/>
    <w:rsid w:val="00F22424"/>
    <w:rsid w:val="00F24C30"/>
    <w:rsid w:val="00F31BFC"/>
    <w:rsid w:val="00F3346A"/>
    <w:rsid w:val="00F40EFB"/>
    <w:rsid w:val="00F45BA3"/>
    <w:rsid w:val="00F64595"/>
    <w:rsid w:val="00F7580C"/>
    <w:rsid w:val="00F90816"/>
    <w:rsid w:val="00F9285B"/>
    <w:rsid w:val="00FA1ADF"/>
    <w:rsid w:val="00FE38B1"/>
    <w:rsid w:val="00FE691C"/>
    <w:rsid w:val="00FE786F"/>
    <w:rsid w:val="00FF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5689C"/>
  <w15:docId w15:val="{8A54CCDA-B98B-4B93-A7D3-32EB541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B4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2B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4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B48"/>
  </w:style>
  <w:style w:type="paragraph" w:styleId="Zpat">
    <w:name w:val="footer"/>
    <w:basedOn w:val="Normln"/>
    <w:link w:val="ZpatChar"/>
    <w:uiPriority w:val="99"/>
    <w:unhideWhenUsed/>
    <w:rsid w:val="005B2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B48"/>
  </w:style>
  <w:style w:type="paragraph" w:customStyle="1" w:styleId="NormlnOdsazen">
    <w:name w:val="Normální  + Odsazení"/>
    <w:basedOn w:val="Normln"/>
    <w:uiPriority w:val="99"/>
    <w:rsid w:val="005B2B48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4"/>
      <w:lang w:eastAsia="cs-CZ"/>
    </w:rPr>
  </w:style>
  <w:style w:type="character" w:styleId="Hypertextovodkaz">
    <w:name w:val="Hyperlink"/>
    <w:uiPriority w:val="99"/>
    <w:rsid w:val="005B2B48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B2B48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B2B48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5B2B4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5B2B48"/>
    <w:pPr>
      <w:spacing w:line="252" w:lineRule="auto"/>
      <w:ind w:left="720"/>
      <w:contextualSpacing/>
      <w:jc w:val="both"/>
    </w:pPr>
    <w:rPr>
      <w:rFonts w:ascii="Cambria" w:eastAsia="Times New Roman" w:hAnsi="Cambria"/>
    </w:rPr>
  </w:style>
  <w:style w:type="paragraph" w:customStyle="1" w:styleId="AAOdstavec">
    <w:name w:val="AA_Odstavec"/>
    <w:basedOn w:val="Normln"/>
    <w:link w:val="AAOdstavecChar"/>
    <w:uiPriority w:val="99"/>
    <w:rsid w:val="005B2B48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AAOdstavecChar">
    <w:name w:val="AA_Odstavec Char"/>
    <w:link w:val="AAOdstavec"/>
    <w:uiPriority w:val="99"/>
    <w:locked/>
    <w:rsid w:val="005B2B48"/>
    <w:rPr>
      <w:rFonts w:ascii="Arial" w:eastAsia="Calibri" w:hAnsi="Arial" w:cs="Times New Roman"/>
      <w:sz w:val="20"/>
      <w:szCs w:val="20"/>
    </w:rPr>
  </w:style>
  <w:style w:type="paragraph" w:customStyle="1" w:styleId="Odstavec1">
    <w:name w:val="Odstavec 1."/>
    <w:basedOn w:val="Normln"/>
    <w:uiPriority w:val="99"/>
    <w:rsid w:val="005B2B48"/>
    <w:pPr>
      <w:keepNext/>
      <w:numPr>
        <w:numId w:val="3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B2B48"/>
    <w:pPr>
      <w:numPr>
        <w:ilvl w:val="1"/>
        <w:numId w:val="3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5609B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09BE"/>
    <w:pPr>
      <w:spacing w:after="200"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609BE"/>
    <w:rPr>
      <w:rFonts w:ascii="Calibri" w:eastAsia="Calibri" w:hAnsi="Calibri" w:cs="Times New Roman"/>
      <w:b/>
      <w:bCs/>
      <w:lang w:eastAsia="en-US"/>
    </w:rPr>
  </w:style>
  <w:style w:type="character" w:styleId="Siln">
    <w:name w:val="Strong"/>
    <w:uiPriority w:val="22"/>
    <w:qFormat/>
    <w:rsid w:val="003D5B78"/>
    <w:rPr>
      <w:b/>
      <w:bCs/>
    </w:rPr>
  </w:style>
  <w:style w:type="character" w:customStyle="1" w:styleId="apple-converted-space">
    <w:name w:val="apple-converted-space"/>
    <w:rsid w:val="001B2210"/>
  </w:style>
  <w:style w:type="paragraph" w:customStyle="1" w:styleId="Default">
    <w:name w:val="Default"/>
    <w:rsid w:val="002B24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89416-3CED-44E3-A9FB-486E7A25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1728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11907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Helena Rozehnalová</cp:lastModifiedBy>
  <cp:revision>29</cp:revision>
  <dcterms:created xsi:type="dcterms:W3CDTF">2026-03-17T11:55:00Z</dcterms:created>
  <dcterms:modified xsi:type="dcterms:W3CDTF">2026-03-18T06:43:00Z</dcterms:modified>
</cp:coreProperties>
</file>