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208F" w14:textId="2074E1E3" w:rsidR="001B65B2" w:rsidRDefault="003E42B6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3F0A82F4" w14:textId="77777777" w:rsidR="00137084" w:rsidRDefault="00137084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14:paraId="0EF2C660" w14:textId="32D0D8E3" w:rsidR="001B65B2" w:rsidRDefault="001370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Dodávka sondové enterální výživy</w:t>
      </w:r>
      <w:r w:rsidR="00770B23">
        <w:rPr>
          <w:rFonts w:ascii="Arial" w:hAnsi="Arial" w:cs="Arial"/>
          <w:b/>
          <w:bCs/>
          <w:sz w:val="28"/>
          <w:szCs w:val="28"/>
        </w:rPr>
        <w:t xml:space="preserve"> 202</w:t>
      </w:r>
      <w:r w:rsidR="00006DEF">
        <w:rPr>
          <w:rFonts w:ascii="Arial" w:hAnsi="Arial" w:cs="Arial"/>
          <w:b/>
          <w:bCs/>
          <w:sz w:val="28"/>
          <w:szCs w:val="28"/>
        </w:rPr>
        <w:t>6</w:t>
      </w:r>
    </w:p>
    <w:p w14:paraId="12B0FBBD" w14:textId="77777777" w:rsidR="001B65B2" w:rsidRDefault="001B65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8BD81D" w14:textId="77777777" w:rsidR="001B65B2" w:rsidRPr="00306746" w:rsidRDefault="001B65B2">
      <w:pPr>
        <w:spacing w:line="100" w:lineRule="atLeast"/>
        <w:jc w:val="center"/>
        <w:rPr>
          <w:rFonts w:ascii="Arial" w:hAnsi="Arial" w:cs="Arial"/>
          <w:b/>
          <w:bCs/>
        </w:rPr>
      </w:pPr>
    </w:p>
    <w:p w14:paraId="51EE9A0A" w14:textId="77777777" w:rsidR="001B65B2" w:rsidRDefault="003E42B6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499852BD" w14:textId="77777777" w:rsidR="001B65B2" w:rsidRDefault="003E42B6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3AB0615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3154347" w14:textId="77777777" w:rsidR="001B65B2" w:rsidRDefault="003E42B6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…………………………………………………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.………………………….</w:t>
      </w:r>
    </w:p>
    <w:p w14:paraId="61C2A0C8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………………………….……...………………..............</w:t>
      </w:r>
    </w:p>
    <w:p w14:paraId="029EF606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  <w:t>…………………………………..….…………………...</w:t>
      </w:r>
    </w:p>
    <w:p w14:paraId="2750F4BC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……………………………………...…………………...</w:t>
      </w:r>
    </w:p>
    <w:p w14:paraId="67C99EBF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………………………………………...………………...</w:t>
      </w:r>
    </w:p>
    <w:p w14:paraId="3CDBFD0C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bank. spojení:</w:t>
      </w:r>
      <w:r>
        <w:rPr>
          <w:rFonts w:ascii="Arial" w:hAnsi="Arial" w:cs="Arial"/>
          <w:sz w:val="20"/>
          <w:szCs w:val="20"/>
        </w:rPr>
        <w:tab/>
        <w:t>…………………………………………...……………...</w:t>
      </w:r>
    </w:p>
    <w:p w14:paraId="5E879245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  <w:t>……………………………………………...…………...</w:t>
      </w:r>
    </w:p>
    <w:p w14:paraId="120343E6" w14:textId="77777777" w:rsidR="001B65B2" w:rsidRDefault="003E42B6">
      <w:pPr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zapsána v OR </w:t>
      </w:r>
      <w:r>
        <w:rPr>
          <w:rFonts w:ascii="Arial" w:hAnsi="Arial" w:cs="Arial"/>
          <w:sz w:val="20"/>
          <w:szCs w:val="20"/>
        </w:rPr>
        <w:tab/>
        <w:t>…………………………..…………………...………….</w:t>
      </w:r>
    </w:p>
    <w:p w14:paraId="22509870" w14:textId="77777777" w:rsidR="001B65B2" w:rsidRDefault="003E42B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08F4B7EA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2F403A77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E0FB262" w14:textId="77777777" w:rsidR="001B65B2" w:rsidRDefault="003E42B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4B3B3A8F" w14:textId="77777777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>Pod klášterem 55/17, 679 61 Letovice</w:t>
      </w:r>
    </w:p>
    <w:p w14:paraId="3A425B70" w14:textId="1E538155" w:rsidR="001B65B2" w:rsidRDefault="003E42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3C2A40">
        <w:rPr>
          <w:rFonts w:ascii="Arial" w:hAnsi="Arial" w:cs="Arial"/>
          <w:bCs/>
          <w:sz w:val="20"/>
          <w:szCs w:val="20"/>
        </w:rPr>
        <w:t>Ing. Lucií Bouskovou, ředitelkou nemocnice</w:t>
      </w:r>
    </w:p>
    <w:p w14:paraId="1EBAA936" w14:textId="77777777" w:rsidR="001B65B2" w:rsidRDefault="003E42B6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>00387134</w:t>
      </w:r>
      <w:r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79FA4811" w14:textId="77777777" w:rsidR="001B65B2" w:rsidRDefault="003E42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 dále jen „kupující“)</w:t>
      </w:r>
    </w:p>
    <w:p w14:paraId="11ABB102" w14:textId="77777777" w:rsidR="001B65B2" w:rsidRDefault="001B65B2">
      <w:pPr>
        <w:ind w:left="426"/>
        <w:rPr>
          <w:rFonts w:ascii="Arial" w:hAnsi="Arial" w:cs="Arial"/>
          <w:sz w:val="20"/>
          <w:szCs w:val="20"/>
        </w:rPr>
      </w:pPr>
    </w:p>
    <w:p w14:paraId="02B264E2" w14:textId="77777777" w:rsidR="001B65B2" w:rsidRDefault="001B65B2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10D4ECB3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3894427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540874B1" w14:textId="77777777" w:rsidR="001B65B2" w:rsidRDefault="003E42B6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 a závazek kupujícího řádně dodané zboží od prodávajícího převzít a zaplatit mu za něj sjednanou kupní cenu.</w:t>
      </w:r>
    </w:p>
    <w:p w14:paraId="6371930C" w14:textId="0921F599" w:rsidR="001B65B2" w:rsidRDefault="003E42B6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 souladu s nabídkou prodávajícího ze dne ……... 202</w:t>
      </w:r>
      <w:r w:rsidR="00006DEF">
        <w:rPr>
          <w:rFonts w:ascii="Arial" w:hAnsi="Arial" w:cs="Arial"/>
          <w:sz w:val="20"/>
          <w:szCs w:val="20"/>
        </w:rPr>
        <w:t>6</w:t>
      </w:r>
      <w:r w:rsidR="003C2A4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na základě výsledku veřejné zakázky malého rozsahu s názvem </w:t>
      </w:r>
      <w:r>
        <w:rPr>
          <w:rFonts w:ascii="Arial" w:hAnsi="Arial" w:cs="Arial"/>
          <w:b/>
          <w:sz w:val="20"/>
          <w:szCs w:val="20"/>
        </w:rPr>
        <w:t>„</w:t>
      </w:r>
      <w:r w:rsidR="00137084">
        <w:rPr>
          <w:rFonts w:ascii="Arial" w:hAnsi="Arial" w:cs="Arial"/>
          <w:b/>
          <w:sz w:val="20"/>
          <w:szCs w:val="20"/>
        </w:rPr>
        <w:t>DODÁVKA SONDOVÉ ENTERÁLNÍ VÝŽIVY</w:t>
      </w:r>
      <w:r w:rsidR="00770B23">
        <w:rPr>
          <w:rFonts w:ascii="Arial" w:hAnsi="Arial" w:cs="Arial"/>
          <w:b/>
          <w:sz w:val="20"/>
          <w:szCs w:val="20"/>
        </w:rPr>
        <w:t xml:space="preserve"> 202</w:t>
      </w:r>
      <w:r w:rsidR="00006DEF">
        <w:rPr>
          <w:rFonts w:ascii="Arial" w:hAnsi="Arial" w:cs="Arial"/>
          <w:b/>
          <w:sz w:val="20"/>
          <w:szCs w:val="20"/>
        </w:rPr>
        <w:t>6</w:t>
      </w:r>
      <w:r w:rsidR="00137084">
        <w:rPr>
          <w:rFonts w:ascii="Arial" w:hAnsi="Arial" w:cs="Arial"/>
          <w:b/>
          <w:sz w:val="20"/>
          <w:szCs w:val="20"/>
        </w:rPr>
        <w:t>“</w:t>
      </w:r>
      <w:r w:rsidRPr="00306746">
        <w:rPr>
          <w:rFonts w:ascii="Arial" w:hAnsi="Arial" w:cs="Arial"/>
          <w:b/>
          <w:sz w:val="20"/>
          <w:szCs w:val="20"/>
        </w:rPr>
        <w:t xml:space="preserve">, </w:t>
      </w:r>
      <w:r w:rsidRPr="00306746">
        <w:rPr>
          <w:rFonts w:ascii="Arial" w:hAnsi="Arial" w:cs="Arial"/>
          <w:sz w:val="20"/>
          <w:szCs w:val="20"/>
        </w:rPr>
        <w:t>dále jen „veře</w:t>
      </w:r>
      <w:r>
        <w:rPr>
          <w:rFonts w:ascii="Arial" w:hAnsi="Arial" w:cs="Arial"/>
          <w:sz w:val="20"/>
          <w:szCs w:val="20"/>
        </w:rPr>
        <w:t xml:space="preserve">jná zakázka". </w:t>
      </w:r>
    </w:p>
    <w:p w14:paraId="17233104" w14:textId="77777777" w:rsidR="001B65B2" w:rsidRDefault="001B65B2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3C1C316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209F48A8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19B31685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0673BCB8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211B8E80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39368C0F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email: ……………………….……..</w:t>
      </w:r>
    </w:p>
    <w:p w14:paraId="7CA7E0D4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……….….…, fax: ………..…..</w:t>
      </w:r>
    </w:p>
    <w:p w14:paraId="4F692CDC" w14:textId="77777777" w:rsidR="001B65B2" w:rsidRDefault="003E42B6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10EAD9E7" w14:textId="77777777" w:rsidR="001B65B2" w:rsidRDefault="003E42B6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Kontaktními údaji kupujícího jsou:</w:t>
      </w:r>
    </w:p>
    <w:p w14:paraId="1CB62E90" w14:textId="77777777" w:rsidR="001B65B2" w:rsidRDefault="003E42B6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14251445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6D875941" w14:textId="77777777" w:rsidR="001B65B2" w:rsidRDefault="003E42B6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607 087 933</w:t>
      </w:r>
    </w:p>
    <w:p w14:paraId="7C7809AC" w14:textId="77777777" w:rsidR="001B65B2" w:rsidRDefault="001B65B2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2417FD74" w14:textId="77777777" w:rsidR="001B65B2" w:rsidRDefault="001B65B2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7630942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D66F2B5" w14:textId="77777777" w:rsidR="001B65B2" w:rsidRDefault="003E42B6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3179D967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prodávajícímu zaplatit za převzaté zboží dohodnutou kupní cenu </w:t>
      </w:r>
      <w:r w:rsidRPr="00306746">
        <w:rPr>
          <w:rFonts w:ascii="Arial" w:hAnsi="Arial" w:cs="Arial"/>
          <w:sz w:val="20"/>
          <w:szCs w:val="20"/>
        </w:rPr>
        <w:t xml:space="preserve">včetně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 </w:t>
      </w:r>
    </w:p>
    <w:p w14:paraId="2A96217B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Ke kupní ceně bude připočtena DPH ve výši stanovené platnými a účinnými právními předpisy</w:t>
      </w:r>
      <w:r>
        <w:rPr>
          <w:rFonts w:ascii="Arial" w:hAnsi="Arial" w:cs="Arial"/>
          <w:sz w:val="20"/>
          <w:szCs w:val="20"/>
        </w:rPr>
        <w:t xml:space="preserve"> k okamžiku uskutečnění zdanitelného plnění. </w:t>
      </w:r>
    </w:p>
    <w:p w14:paraId="5C8F361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dokladu - faktury vystaveného prodávajícím dle dodacího listu. </w:t>
      </w:r>
    </w:p>
    <w:p w14:paraId="7D1AD1F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doklad - faktura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08F6DB9D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0153BD87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Splatnost faktury činí 30 dnů ode</w:t>
      </w:r>
      <w:r>
        <w:rPr>
          <w:rFonts w:ascii="Arial" w:hAnsi="Arial" w:cs="Arial"/>
          <w:sz w:val="20"/>
          <w:szCs w:val="20"/>
        </w:rPr>
        <w:t xml:space="preserve">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049A8CF5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</w:t>
      </w:r>
      <w:r>
        <w:rPr>
          <w:rFonts w:ascii="Arial" w:hAnsi="Arial" w:cs="Arial"/>
          <w:sz w:val="20"/>
          <w:szCs w:val="20"/>
        </w:rPr>
        <w:t xml:space="preserve"> č. 235/2004 Sb., o dani z přidané hodnoty, v platném znění, a jedná se o zveřejněné číslo účtu registrovaného plátce daně z přidané hodnoty.</w:t>
      </w:r>
    </w:p>
    <w:p w14:paraId="381E4D3A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základě kterých by s ním správce daně mohl zahájit řízení o prohlášení za nespolehlivého plátce daně dle § 106a zákona č. 235/2004 Sb., o dani z přidané hodnoty, v platném znění. </w:t>
      </w:r>
    </w:p>
    <w:p w14:paraId="7D856E36" w14:textId="77777777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02E1FACB" w14:textId="4120426E" w:rsidR="001B65B2" w:rsidRDefault="003E42B6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t xml:space="preserve">Kupní cena celkem za dodané zboží za 1 rok plnění veřejné zakázky činí xxxxxxxxxxxxxx </w:t>
      </w:r>
      <w:r w:rsidR="00770B23">
        <w:rPr>
          <w:rFonts w:ascii="Arial" w:hAnsi="Arial" w:cs="Arial"/>
          <w:sz w:val="20"/>
          <w:szCs w:val="20"/>
          <w:highlight w:val="yellow"/>
        </w:rPr>
        <w:t>s</w:t>
      </w:r>
      <w:r>
        <w:rPr>
          <w:rFonts w:ascii="Arial" w:hAnsi="Arial" w:cs="Arial"/>
          <w:sz w:val="20"/>
          <w:szCs w:val="20"/>
          <w:highlight w:val="yellow"/>
        </w:rPr>
        <w:t xml:space="preserve"> DPH. (dodavatel vyplní údaj o ceně dle přílohy č. 1 této kupní smlouvy).</w:t>
      </w:r>
    </w:p>
    <w:p w14:paraId="325EE3E3" w14:textId="77777777" w:rsidR="001B65B2" w:rsidRPr="00306746" w:rsidRDefault="003E42B6">
      <w:pPr>
        <w:numPr>
          <w:ilvl w:val="0"/>
          <w:numId w:val="6"/>
        </w:numPr>
        <w:spacing w:before="120"/>
        <w:ind w:left="426" w:hanging="426"/>
        <w:jc w:val="both"/>
      </w:pPr>
      <w:bookmarkStart w:id="0" w:name="__DdeLink__29439_2655115830"/>
      <w:r w:rsidRPr="00306746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C250C0" w:rsidRPr="00306746">
        <w:rPr>
          <w:rFonts w:ascii="Arial" w:hAnsi="Arial" w:cs="Arial"/>
          <w:sz w:val="20"/>
          <w:szCs w:val="20"/>
        </w:rPr>
        <w:t>,</w:t>
      </w:r>
      <w:r w:rsidRPr="00306746">
        <w:rPr>
          <w:rFonts w:ascii="Arial" w:hAnsi="Arial" w:cs="Arial"/>
          <w:sz w:val="20"/>
          <w:szCs w:val="20"/>
        </w:rPr>
        <w:t xml:space="preserve"> a to bez </w:t>
      </w:r>
      <w:r w:rsidRPr="00306746">
        <w:rPr>
          <w:rFonts w:ascii="Arial" w:hAnsi="Arial" w:cs="Arial"/>
          <w:sz w:val="20"/>
          <w:szCs w:val="20"/>
        </w:rPr>
        <w:lastRenderedPageBreak/>
        <w:t xml:space="preserve">jakýchkoliv nároků na kompenzaci, jinak by prodávající podstatným způsobem porušil tuto smlouvu. </w:t>
      </w:r>
      <w:bookmarkEnd w:id="0"/>
    </w:p>
    <w:p w14:paraId="7D594066" w14:textId="77777777" w:rsidR="001B65B2" w:rsidRDefault="001B65B2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087E1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4DA2E12" w14:textId="77777777" w:rsidR="001B65B2" w:rsidRDefault="003E42B6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312629BA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201B9F76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5EC13201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34A83CC9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3530BE7E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2A08A89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293860E7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2EA52A9" w14:textId="3CFE5B9A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227207F2" w14:textId="77777777" w:rsidR="001B65B2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0BA78DC8" w14:textId="77777777" w:rsidR="001B65B2" w:rsidRPr="00306746" w:rsidRDefault="003E42B6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Kupující neposkytuje zálohové platby.</w:t>
      </w:r>
    </w:p>
    <w:p w14:paraId="5E08A0C5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0C8661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578BDE6D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BE0D55D" w14:textId="77777777" w:rsidR="001B65B2" w:rsidRDefault="001B65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61B7D" w14:textId="4288B3C6" w:rsidR="001B65B2" w:rsidRPr="00306746" w:rsidRDefault="003E42B6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>V případě prodlení kupujícího se zaplacením faktury za dodané zboží uhradí kupující prodávajícímu úrok z prodlení ve výši 0,</w:t>
      </w:r>
      <w:r w:rsidR="00770B23">
        <w:rPr>
          <w:rFonts w:ascii="Arial" w:hAnsi="Arial" w:cs="Arial"/>
          <w:sz w:val="20"/>
          <w:szCs w:val="20"/>
        </w:rPr>
        <w:t>0</w:t>
      </w:r>
      <w:r w:rsidRPr="00306746">
        <w:rPr>
          <w:rFonts w:ascii="Arial" w:hAnsi="Arial" w:cs="Arial"/>
          <w:sz w:val="20"/>
          <w:szCs w:val="20"/>
        </w:rPr>
        <w:t>1% z celkové nezaplacené částky za 31. a každý další den prodlení.</w:t>
      </w:r>
    </w:p>
    <w:p w14:paraId="473967EC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00549697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4821C7C4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uhradit smluvní pokutu kupujícímu ve lhůtě do 10 dnů ode dne doručení výzvy k jejímu zaplacení.</w:t>
      </w:r>
    </w:p>
    <w:p w14:paraId="52F98AC9" w14:textId="77777777" w:rsidR="001B65B2" w:rsidRDefault="003E42B6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Zaplacením smluvní pokuty není dotčeno právo kupujícího na náhradu škody v plné výši.</w:t>
      </w:r>
    </w:p>
    <w:p w14:paraId="4A4E2E6A" w14:textId="77777777" w:rsidR="001B65B2" w:rsidRDefault="001B65B2">
      <w:pPr>
        <w:pStyle w:val="Prosttext1"/>
        <w:rPr>
          <w:rFonts w:ascii="Arial" w:hAnsi="Arial" w:cs="Arial"/>
          <w:sz w:val="20"/>
          <w:szCs w:val="20"/>
        </w:rPr>
      </w:pPr>
    </w:p>
    <w:p w14:paraId="345779D7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1AEA0513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1ED166D2" w14:textId="77777777" w:rsidR="001B65B2" w:rsidRDefault="003E42B6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6262539D" w14:textId="77777777" w:rsidR="001B65B2" w:rsidRDefault="003E42B6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712E9941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23BA500C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3D9D9288" w14:textId="77777777" w:rsidR="001B65B2" w:rsidRDefault="003E42B6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610B51C2" w14:textId="3F70921C" w:rsidR="001B65B2" w:rsidRPr="00306746" w:rsidRDefault="00442B4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306746">
        <w:rPr>
          <w:rFonts w:ascii="Arial" w:hAnsi="Arial" w:cs="Arial"/>
          <w:sz w:val="20"/>
          <w:szCs w:val="20"/>
        </w:rPr>
        <w:t>Prodávající</w:t>
      </w:r>
      <w:r w:rsidR="003E42B6" w:rsidRPr="00306746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 w:rsidR="00306746">
        <w:rPr>
          <w:rFonts w:ascii="Arial" w:hAnsi="Arial" w:cs="Arial"/>
          <w:sz w:val="20"/>
          <w:szCs w:val="20"/>
        </w:rPr>
        <w:t>10</w:t>
      </w:r>
      <w:r w:rsidR="003E42B6" w:rsidRPr="00306746">
        <w:rPr>
          <w:rFonts w:ascii="Arial" w:hAnsi="Arial" w:cs="Arial"/>
          <w:sz w:val="20"/>
          <w:szCs w:val="20"/>
        </w:rPr>
        <w:t xml:space="preserve"> pracovních dnů od uplatnění reklamace kupujícím, nedohodnou-li se smluvní strany jinak.</w:t>
      </w:r>
    </w:p>
    <w:p w14:paraId="0A4C5DF7" w14:textId="77777777" w:rsidR="001B65B2" w:rsidRDefault="001B65B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EBD8215" w14:textId="77777777" w:rsidR="001B65B2" w:rsidRDefault="003E42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37341FB2" w14:textId="77777777" w:rsidR="001B65B2" w:rsidRDefault="003E4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5B0AEC0" w14:textId="7C598CA4" w:rsidR="001B65B2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6CB40418" w14:textId="174F8FEC" w:rsidR="00B87C01" w:rsidRPr="00B87C01" w:rsidRDefault="00B87C01" w:rsidP="00B87C01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Tato smlouva se uzavírá na dobu určitou od 01.0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006DEF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 xml:space="preserve"> do 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30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770B23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B87C01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006DEF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3C2A4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7F51ABB" w14:textId="38646E3C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64009FB2" w14:textId="77777777" w:rsidR="00B175F3" w:rsidRPr="00B175F3" w:rsidRDefault="00B175F3" w:rsidP="00B175F3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Prodávající prohlašuje, že</w:t>
      </w:r>
    </w:p>
    <w:p w14:paraId="06FB5066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nemá v úmyslu nezaplatit daň z přidané hodnoty u zdanitelného plnění podle této smlouvy (dále jen „daň“),</w:t>
      </w:r>
    </w:p>
    <w:p w14:paraId="72481FA2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nejsou mu známy skutečnosti nasvědčující tomu, že se dostane do postavení, kdy nemůže daň zaplatit a ani se ke dni podpisu této smlouvy v takovém postavení nenachází,</w:t>
      </w:r>
    </w:p>
    <w:p w14:paraId="53F28E19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nezkrátí daň nebo nevyláká daňovou výhodu.</w:t>
      </w:r>
    </w:p>
    <w:p w14:paraId="1B4245DA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tato smlouva nebude plněna ruským státním příslušníkem, fyzickou či právnickou osobou, subjektem či orgánem se sídlem v Rusku</w:t>
      </w:r>
    </w:p>
    <w:p w14:paraId="587E7DD5" w14:textId="77777777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není právnickou osobu, subjektem nebo orgánem, která je více než 50 % přímo či nepřímo vlastněna některým ze subjektů uvedených v písmeni d) tohoto článku</w:t>
      </w:r>
    </w:p>
    <w:p w14:paraId="6B4E34AC" w14:textId="6220E79F" w:rsidR="00B175F3" w:rsidRPr="00B175F3" w:rsidRDefault="00B175F3" w:rsidP="00B175F3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 xml:space="preserve">nejedná jménem nebo na pokyn některého ze subjektů uvedených v písmeni d) nebo e). </w:t>
      </w:r>
    </w:p>
    <w:p w14:paraId="110F6149" w14:textId="0A249CF8" w:rsidR="001B65B2" w:rsidRPr="00306746" w:rsidRDefault="00770B23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</w:t>
      </w:r>
      <w:r w:rsidR="003E42B6" w:rsidRPr="00306746">
        <w:rPr>
          <w:rFonts w:ascii="Arial" w:hAnsi="Arial" w:cs="Arial"/>
          <w:sz w:val="20"/>
          <w:szCs w:val="20"/>
        </w:rPr>
        <w:t>oprávněn</w:t>
      </w:r>
      <w:r>
        <w:rPr>
          <w:rFonts w:ascii="Arial" w:hAnsi="Arial" w:cs="Arial"/>
          <w:sz w:val="20"/>
          <w:szCs w:val="20"/>
        </w:rPr>
        <w:t>y</w:t>
      </w:r>
      <w:r w:rsidR="003E42B6" w:rsidRPr="00306746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>dva</w:t>
      </w:r>
      <w:r w:rsidR="003E42B6" w:rsidRPr="00306746">
        <w:rPr>
          <w:rFonts w:ascii="Arial" w:hAnsi="Arial" w:cs="Arial"/>
          <w:sz w:val="20"/>
          <w:szCs w:val="20"/>
        </w:rPr>
        <w:t xml:space="preserve"> měsíc</w:t>
      </w:r>
      <w:r>
        <w:rPr>
          <w:rFonts w:ascii="Arial" w:hAnsi="Arial" w:cs="Arial"/>
          <w:sz w:val="20"/>
          <w:szCs w:val="20"/>
        </w:rPr>
        <w:t>e</w:t>
      </w:r>
      <w:r w:rsidR="003E42B6" w:rsidRPr="00306746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1613EFFC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15EA4E7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58D03238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46238122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5B1DD9AE" w14:textId="77777777" w:rsidR="001B65B2" w:rsidRPr="00306746" w:rsidRDefault="003E42B6">
      <w:pPr>
        <w:numPr>
          <w:ilvl w:val="0"/>
          <w:numId w:val="4"/>
        </w:numPr>
        <w:tabs>
          <w:tab w:val="clear" w:pos="720"/>
        </w:tabs>
        <w:spacing w:before="120"/>
        <w:ind w:left="397" w:hanging="397"/>
        <w:jc w:val="both"/>
      </w:pPr>
      <w:r w:rsidRPr="00306746">
        <w:rPr>
          <w:rFonts w:ascii="Arial" w:hAnsi="Arial" w:cs="Arial"/>
          <w:sz w:val="20"/>
          <w:szCs w:val="20"/>
        </w:rPr>
        <w:t>Smluvní strany souhlasí s uveřejněním kupní smlouvy v registru smluv podle platných právních předpisů. Uveřejnění smlouvy provede kupující.</w:t>
      </w:r>
    </w:p>
    <w:p w14:paraId="2334CA5E" w14:textId="77777777" w:rsidR="001B65B2" w:rsidRDefault="003E42B6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prohlašují, že si smlouvu přečetly, s jejím zněním souhlasí a na důkaz toho připojují jejich oprávnění zástupci své vlastnoruční podpisy.</w:t>
      </w:r>
    </w:p>
    <w:p w14:paraId="3B44500A" w14:textId="77777777" w:rsidR="001B65B2" w:rsidRDefault="001B65B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BF6BF2" w14:textId="72FBC22F" w:rsidR="001B65B2" w:rsidRDefault="003E42B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Specifikace </w:t>
      </w:r>
      <w:r w:rsidR="003C2A40">
        <w:rPr>
          <w:rFonts w:ascii="Arial" w:hAnsi="Arial" w:cs="Arial"/>
          <w:sz w:val="20"/>
          <w:szCs w:val="20"/>
        </w:rPr>
        <w:t>zboží; cenová nabídka pro účely hodnocení</w:t>
      </w:r>
    </w:p>
    <w:p w14:paraId="113E0943" w14:textId="13F6189F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1B57F6" w14:textId="2B0A6E28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30BCB0" w14:textId="77777777" w:rsidR="00B175F3" w:rsidRDefault="00B175F3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1B65B2" w14:paraId="1E06D40D" w14:textId="77777777">
        <w:trPr>
          <w:trHeight w:val="287"/>
        </w:trPr>
        <w:tc>
          <w:tcPr>
            <w:tcW w:w="4784" w:type="dxa"/>
          </w:tcPr>
          <w:p w14:paraId="389CF45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…………….. dne…………</w:t>
            </w:r>
          </w:p>
          <w:p w14:paraId="78575844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49E229A8" w14:textId="77777777" w:rsidR="001B65B2" w:rsidRDefault="001B65B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</w:tcPr>
          <w:p w14:paraId="0464DCBD" w14:textId="77777777" w:rsidR="001B65B2" w:rsidRDefault="003E42B6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</w:p>
          <w:p w14:paraId="2C74F5CF" w14:textId="77777777" w:rsidR="001B65B2" w:rsidRDefault="003E42B6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0701C600" w14:textId="5CA213E9" w:rsidR="001B65B2" w:rsidRDefault="001B65B2">
      <w:pPr>
        <w:rPr>
          <w:rFonts w:ascii="Arial" w:hAnsi="Arial" w:cs="Arial"/>
          <w:sz w:val="20"/>
          <w:szCs w:val="20"/>
        </w:rPr>
      </w:pPr>
    </w:p>
    <w:p w14:paraId="50E2C662" w14:textId="26E1774B" w:rsidR="00306746" w:rsidRDefault="00306746">
      <w:pPr>
        <w:rPr>
          <w:rFonts w:ascii="Arial" w:hAnsi="Arial" w:cs="Arial"/>
          <w:sz w:val="20"/>
          <w:szCs w:val="20"/>
        </w:rPr>
      </w:pPr>
    </w:p>
    <w:p w14:paraId="32AA3BFB" w14:textId="77777777" w:rsidR="00306746" w:rsidRDefault="00306746">
      <w:pPr>
        <w:rPr>
          <w:rFonts w:ascii="Arial" w:hAnsi="Arial" w:cs="Arial"/>
          <w:sz w:val="20"/>
          <w:szCs w:val="20"/>
        </w:rPr>
      </w:pPr>
    </w:p>
    <w:p w14:paraId="6A15A838" w14:textId="77777777" w:rsidR="001B65B2" w:rsidRDefault="003E42B6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……………………………….…….</w:t>
      </w:r>
    </w:p>
    <w:p w14:paraId="5BE34B5A" w14:textId="083AA95C" w:rsidR="001B65B2" w:rsidRDefault="003E42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3C2A40">
        <w:rPr>
          <w:rFonts w:ascii="Arial" w:hAnsi="Arial" w:cs="Arial"/>
          <w:b/>
          <w:bCs/>
          <w:sz w:val="20"/>
          <w:szCs w:val="20"/>
        </w:rPr>
        <w:t>Ing. Lucie Bousková</w:t>
      </w:r>
    </w:p>
    <w:p w14:paraId="39CEA1D3" w14:textId="77777777" w:rsidR="001B65B2" w:rsidRDefault="003E42B6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  ředitelka nemocnice</w:t>
      </w:r>
    </w:p>
    <w:sectPr w:rsidR="001B65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5E40" w14:textId="77777777" w:rsidR="001A3884" w:rsidRDefault="001A3884">
      <w:r>
        <w:separator/>
      </w:r>
    </w:p>
  </w:endnote>
  <w:endnote w:type="continuationSeparator" w:id="0">
    <w:p w14:paraId="7A1F3E40" w14:textId="77777777" w:rsidR="001A3884" w:rsidRDefault="001A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8FF" w14:textId="77777777" w:rsidR="001B65B2" w:rsidRDefault="003E42B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545E1B06" w14:textId="77777777" w:rsidR="001B65B2" w:rsidRDefault="001B6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4C8F" w14:textId="77777777" w:rsidR="001A3884" w:rsidRDefault="001A3884">
      <w:r>
        <w:separator/>
      </w:r>
    </w:p>
  </w:footnote>
  <w:footnote w:type="continuationSeparator" w:id="0">
    <w:p w14:paraId="7011F9E1" w14:textId="77777777" w:rsidR="001A3884" w:rsidRDefault="001A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4EF2" w14:textId="0F3BBDAC" w:rsidR="001B65B2" w:rsidRDefault="001B5B1D">
    <w:pPr>
      <w:pStyle w:val="Zhlav"/>
      <w:jc w:val="right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988FDC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7A5A"/>
    <w:multiLevelType w:val="hybridMultilevel"/>
    <w:tmpl w:val="83CA4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6625"/>
    <w:multiLevelType w:val="multilevel"/>
    <w:tmpl w:val="C3867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604DB5"/>
    <w:multiLevelType w:val="multilevel"/>
    <w:tmpl w:val="D00A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54181C"/>
    <w:multiLevelType w:val="multilevel"/>
    <w:tmpl w:val="35F4608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4925F1"/>
    <w:multiLevelType w:val="multilevel"/>
    <w:tmpl w:val="8A72B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4D1797"/>
    <w:multiLevelType w:val="multilevel"/>
    <w:tmpl w:val="845E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874B1D"/>
    <w:multiLevelType w:val="multilevel"/>
    <w:tmpl w:val="C6646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76FD"/>
    <w:multiLevelType w:val="multilevel"/>
    <w:tmpl w:val="238C13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B55DF9"/>
    <w:multiLevelType w:val="multilevel"/>
    <w:tmpl w:val="CD1C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F2438"/>
    <w:multiLevelType w:val="multilevel"/>
    <w:tmpl w:val="6D0A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71DF5B8D"/>
    <w:multiLevelType w:val="multilevel"/>
    <w:tmpl w:val="F44C90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BE83637"/>
    <w:multiLevelType w:val="multilevel"/>
    <w:tmpl w:val="21A4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D7C5E38"/>
    <w:multiLevelType w:val="multilevel"/>
    <w:tmpl w:val="C5504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4249812">
    <w:abstractNumId w:val="8"/>
  </w:num>
  <w:num w:numId="2" w16cid:durableId="937324998">
    <w:abstractNumId w:val="4"/>
  </w:num>
  <w:num w:numId="3" w16cid:durableId="1148133459">
    <w:abstractNumId w:val="12"/>
  </w:num>
  <w:num w:numId="4" w16cid:durableId="133526930">
    <w:abstractNumId w:val="3"/>
  </w:num>
  <w:num w:numId="5" w16cid:durableId="780028702">
    <w:abstractNumId w:val="13"/>
  </w:num>
  <w:num w:numId="6" w16cid:durableId="1737778167">
    <w:abstractNumId w:val="11"/>
  </w:num>
  <w:num w:numId="7" w16cid:durableId="768811667">
    <w:abstractNumId w:val="5"/>
  </w:num>
  <w:num w:numId="8" w16cid:durableId="1358461982">
    <w:abstractNumId w:val="6"/>
  </w:num>
  <w:num w:numId="9" w16cid:durableId="101343140">
    <w:abstractNumId w:val="7"/>
  </w:num>
  <w:num w:numId="10" w16cid:durableId="1498694354">
    <w:abstractNumId w:val="9"/>
  </w:num>
  <w:num w:numId="11" w16cid:durableId="1269774421">
    <w:abstractNumId w:val="2"/>
  </w:num>
  <w:num w:numId="12" w16cid:durableId="46963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016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599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2"/>
    <w:rsid w:val="00006DEF"/>
    <w:rsid w:val="00020E80"/>
    <w:rsid w:val="00137084"/>
    <w:rsid w:val="001A3884"/>
    <w:rsid w:val="001B5B1D"/>
    <w:rsid w:val="001B65B2"/>
    <w:rsid w:val="00282BA8"/>
    <w:rsid w:val="002B159A"/>
    <w:rsid w:val="00306746"/>
    <w:rsid w:val="003C2A40"/>
    <w:rsid w:val="003C45E1"/>
    <w:rsid w:val="003D3882"/>
    <w:rsid w:val="003E42B6"/>
    <w:rsid w:val="004331C5"/>
    <w:rsid w:val="00442B47"/>
    <w:rsid w:val="00443F7A"/>
    <w:rsid w:val="006D2460"/>
    <w:rsid w:val="007147F1"/>
    <w:rsid w:val="00716374"/>
    <w:rsid w:val="00770B23"/>
    <w:rsid w:val="007D2283"/>
    <w:rsid w:val="00804382"/>
    <w:rsid w:val="00983DA1"/>
    <w:rsid w:val="00AA279A"/>
    <w:rsid w:val="00B175F3"/>
    <w:rsid w:val="00B87C01"/>
    <w:rsid w:val="00C06BE7"/>
    <w:rsid w:val="00C250C0"/>
    <w:rsid w:val="00CF0D75"/>
    <w:rsid w:val="00F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AD8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DAE73-7A67-4EDE-B6D5-C0FE2FD4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 HK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Eva Hönigová</cp:lastModifiedBy>
  <cp:revision>3</cp:revision>
  <cp:lastPrinted>2020-01-27T08:57:00Z</cp:lastPrinted>
  <dcterms:created xsi:type="dcterms:W3CDTF">2025-04-07T12:54:00Z</dcterms:created>
  <dcterms:modified xsi:type="dcterms:W3CDTF">2026-03-20T10:17:00Z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