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749C0" w:rsidRDefault="00000000">
      <w:pPr>
        <w:jc w:val="center"/>
        <w:rPr>
          <w:rFonts w:ascii="Calibri" w:eastAsia="Calibri" w:hAnsi="Calibri" w:cs="Calibri"/>
          <w:b/>
          <w:bCs/>
          <w:sz w:val="32"/>
          <w:szCs w:val="32"/>
        </w:rPr>
      </w:pPr>
      <w:r>
        <w:rPr>
          <w:rFonts w:ascii="Calibri" w:eastAsia="Calibri" w:hAnsi="Calibri" w:cs="Calibri"/>
          <w:b/>
          <w:bCs/>
          <w:sz w:val="32"/>
          <w:szCs w:val="32"/>
        </w:rPr>
        <w:t xml:space="preserve">SMLOUVA O DODÁVCE </w:t>
      </w:r>
    </w:p>
    <w:p w14:paraId="00000002" w14:textId="77777777" w:rsidR="00F749C0" w:rsidRDefault="00000000">
      <w:pPr>
        <w:jc w:val="center"/>
        <w:rPr>
          <w:rFonts w:ascii="Calibri" w:eastAsia="Calibri" w:hAnsi="Calibri" w:cs="Calibri"/>
          <w:b/>
          <w:bCs/>
          <w:sz w:val="32"/>
          <w:szCs w:val="32"/>
        </w:rPr>
      </w:pPr>
      <w:r>
        <w:rPr>
          <w:rFonts w:ascii="Calibri" w:eastAsia="Calibri" w:hAnsi="Calibri" w:cs="Calibri"/>
          <w:b/>
          <w:bCs/>
          <w:sz w:val="32"/>
          <w:szCs w:val="32"/>
        </w:rPr>
        <w:t>DŘEVĚNÝCH OTVOROVÝCH VÝPLNÍ</w:t>
      </w:r>
    </w:p>
    <w:p w14:paraId="00000003" w14:textId="77777777" w:rsidR="00F749C0" w:rsidRDefault="00000000">
      <w:pPr>
        <w:jc w:val="center"/>
        <w:rPr>
          <w:rFonts w:ascii="Calibri" w:eastAsia="Calibri" w:hAnsi="Calibri" w:cs="Calibri"/>
          <w:b/>
          <w:bCs/>
          <w:sz w:val="32"/>
          <w:szCs w:val="32"/>
        </w:rPr>
      </w:pPr>
      <w:r>
        <w:rPr>
          <w:rFonts w:ascii="Calibri" w:eastAsia="Calibri" w:hAnsi="Calibri" w:cs="Calibri"/>
          <w:b/>
          <w:bCs/>
          <w:sz w:val="32"/>
          <w:szCs w:val="32"/>
        </w:rPr>
        <w:t>VČ. MONTÁŽE A STAVEBNÍHO ZAPRAVENÍ</w:t>
      </w:r>
    </w:p>
    <w:p w14:paraId="00000004" w14:textId="77777777" w:rsidR="00F749C0" w:rsidRDefault="00F749C0">
      <w:pPr>
        <w:widowControl/>
        <w:jc w:val="center"/>
        <w:rPr>
          <w:rFonts w:ascii="Calibri" w:eastAsia="Calibri" w:hAnsi="Calibri" w:cs="Calibri"/>
          <w:b/>
          <w:bCs/>
          <w:sz w:val="28"/>
          <w:szCs w:val="28"/>
        </w:rPr>
      </w:pPr>
    </w:p>
    <w:p w14:paraId="00000005" w14:textId="77777777" w:rsidR="00F749C0" w:rsidRDefault="00000000">
      <w:pPr>
        <w:jc w:val="center"/>
        <w:rPr>
          <w:rFonts w:ascii="Calibri" w:eastAsia="Calibri" w:hAnsi="Calibri" w:cs="Calibri"/>
          <w:sz w:val="22"/>
          <w:szCs w:val="22"/>
          <w:u w:val="single"/>
        </w:rPr>
      </w:pPr>
      <w:r>
        <w:rPr>
          <w:rFonts w:ascii="Calibri" w:eastAsia="Calibri" w:hAnsi="Calibri" w:cs="Calibri"/>
          <w:sz w:val="22"/>
          <w:szCs w:val="22"/>
          <w:u w:val="single"/>
        </w:rPr>
        <w:t>uzavřená dle § 2079 a násl. zákona č. 89/2012 Sb., občanského zákoníku, v platném znění</w:t>
      </w:r>
    </w:p>
    <w:p w14:paraId="00000006" w14:textId="77777777" w:rsidR="00F749C0" w:rsidRDefault="00F749C0">
      <w:pPr>
        <w:jc w:val="center"/>
        <w:rPr>
          <w:rFonts w:ascii="Calibri" w:eastAsia="Calibri" w:hAnsi="Calibri" w:cs="Calibri"/>
          <w:b/>
          <w:bCs/>
          <w:sz w:val="22"/>
          <w:szCs w:val="22"/>
          <w:u w:val="single"/>
        </w:rPr>
      </w:pPr>
    </w:p>
    <w:p w14:paraId="00000007" w14:textId="77777777"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rPr>
      </w:pPr>
      <w:r w:rsidRPr="00CE1027">
        <w:rPr>
          <w:rFonts w:ascii="Calibri" w:eastAsia="Calibri" w:hAnsi="Calibri" w:cs="Calibri"/>
          <w:b/>
          <w:bCs/>
          <w:color w:val="000000"/>
          <w:sz w:val="22"/>
          <w:szCs w:val="22"/>
          <w:u w:val="single"/>
        </w:rPr>
        <w:t>Smluvní strany</w:t>
      </w:r>
    </w:p>
    <w:p w14:paraId="00000008" w14:textId="77777777" w:rsidR="00F749C0" w:rsidRDefault="00000000">
      <w:pPr>
        <w:jc w:val="both"/>
        <w:rPr>
          <w:rFonts w:ascii="Calibri" w:eastAsia="Calibri" w:hAnsi="Calibri" w:cs="Calibri"/>
          <w:b/>
          <w:bCs/>
          <w:sz w:val="22"/>
          <w:szCs w:val="22"/>
        </w:rPr>
      </w:pPr>
      <w:r>
        <w:rPr>
          <w:rFonts w:ascii="Calibri" w:eastAsia="Calibri" w:hAnsi="Calibri" w:cs="Calibri"/>
          <w:b/>
          <w:bCs/>
          <w:sz w:val="22"/>
          <w:szCs w:val="22"/>
        </w:rPr>
        <w:t>Kupující:</w:t>
      </w:r>
    </w:p>
    <w:p w14:paraId="00000009" w14:textId="77777777" w:rsidR="00F749C0" w:rsidRDefault="00000000">
      <w:pPr>
        <w:jc w:val="both"/>
        <w:rPr>
          <w:rFonts w:ascii="Calibri" w:eastAsia="Calibri" w:hAnsi="Calibri" w:cs="Calibri"/>
          <w:b/>
          <w:bCs/>
          <w:sz w:val="22"/>
          <w:szCs w:val="22"/>
        </w:rPr>
      </w:pPr>
      <w:r>
        <w:rPr>
          <w:rFonts w:ascii="Calibri" w:eastAsia="Calibri" w:hAnsi="Calibri" w:cs="Calibri"/>
          <w:b/>
          <w:bCs/>
          <w:sz w:val="22"/>
          <w:szCs w:val="22"/>
        </w:rPr>
        <w:t xml:space="preserve">Lipka – školské zařízení pro environmentální vzdělávání Brno, příspěvková organizace      </w:t>
      </w:r>
    </w:p>
    <w:p w14:paraId="0000000A"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se sídlem: Brno, Lipová 20, PSČ 602 00</w:t>
      </w:r>
    </w:p>
    <w:p w14:paraId="0000000B"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zastoupený: Mgr. Vladislava Kolářová, ředitelka</w:t>
      </w:r>
    </w:p>
    <w:p w14:paraId="0000000C"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IČ: 44993447</w:t>
      </w:r>
    </w:p>
    <w:p w14:paraId="0000000D"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DIČ: CZ44993447  </w:t>
      </w:r>
    </w:p>
    <w:p w14:paraId="0000000E"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Zapsán v rejstříku škol a školských zařízení MŠMT, resortní identifikátor:</w:t>
      </w:r>
      <w:r>
        <w:rPr>
          <w:rFonts w:ascii="Calibri" w:eastAsia="Calibri" w:hAnsi="Calibri" w:cs="Calibri"/>
          <w:b/>
          <w:bCs/>
          <w:sz w:val="22"/>
          <w:szCs w:val="22"/>
        </w:rPr>
        <w:t xml:space="preserve"> </w:t>
      </w:r>
      <w:r>
        <w:rPr>
          <w:rFonts w:ascii="Calibri" w:eastAsia="Calibri" w:hAnsi="Calibri" w:cs="Calibri"/>
          <w:sz w:val="22"/>
          <w:szCs w:val="22"/>
        </w:rPr>
        <w:t>044993447</w:t>
      </w:r>
    </w:p>
    <w:p w14:paraId="0000000F" w14:textId="77777777" w:rsidR="00F749C0" w:rsidRDefault="00000000">
      <w:pPr>
        <w:jc w:val="both"/>
        <w:rPr>
          <w:rFonts w:ascii="Calibri" w:eastAsia="Calibri" w:hAnsi="Calibri" w:cs="Calibri"/>
          <w:sz w:val="22"/>
          <w:szCs w:val="22"/>
        </w:rPr>
      </w:pPr>
      <w:r>
        <w:rPr>
          <w:rFonts w:ascii="Calibri" w:eastAsia="Calibri" w:hAnsi="Calibri" w:cs="Calibri"/>
          <w:sz w:val="22"/>
          <w:szCs w:val="22"/>
        </w:rPr>
        <w:t>Bankovní spojení: 19-5186610247/0100</w:t>
      </w:r>
    </w:p>
    <w:p w14:paraId="00000010" w14:textId="77777777" w:rsidR="00F749C0" w:rsidRDefault="00000000">
      <w:pPr>
        <w:spacing w:before="120"/>
        <w:jc w:val="both"/>
        <w:rPr>
          <w:rFonts w:ascii="Calibri" w:eastAsia="Calibri" w:hAnsi="Calibri" w:cs="Calibri"/>
          <w:b/>
          <w:bCs/>
          <w:sz w:val="22"/>
          <w:szCs w:val="22"/>
        </w:rPr>
      </w:pPr>
      <w:r>
        <w:rPr>
          <w:rFonts w:ascii="Calibri" w:eastAsia="Calibri" w:hAnsi="Calibri" w:cs="Calibri"/>
          <w:sz w:val="22"/>
          <w:szCs w:val="22"/>
        </w:rPr>
        <w:t>a</w:t>
      </w:r>
      <w:r>
        <w:rPr>
          <w:rFonts w:ascii="Calibri" w:eastAsia="Calibri" w:hAnsi="Calibri" w:cs="Calibri"/>
          <w:b/>
          <w:bCs/>
          <w:sz w:val="22"/>
          <w:szCs w:val="22"/>
        </w:rPr>
        <w:t xml:space="preserve"> </w:t>
      </w:r>
    </w:p>
    <w:p w14:paraId="00000011" w14:textId="77777777" w:rsidR="00F749C0" w:rsidRDefault="00000000">
      <w:pPr>
        <w:spacing w:before="120"/>
        <w:jc w:val="both"/>
        <w:rPr>
          <w:rFonts w:ascii="Calibri" w:eastAsia="Calibri" w:hAnsi="Calibri" w:cs="Calibri"/>
          <w:b/>
          <w:bCs/>
          <w:sz w:val="22"/>
          <w:szCs w:val="22"/>
        </w:rPr>
      </w:pPr>
      <w:r>
        <w:rPr>
          <w:rFonts w:ascii="Calibri" w:eastAsia="Calibri" w:hAnsi="Calibri" w:cs="Calibri"/>
          <w:b/>
          <w:bCs/>
          <w:sz w:val="22"/>
          <w:szCs w:val="22"/>
        </w:rPr>
        <w:t xml:space="preserve">Prodávající: </w:t>
      </w:r>
      <w:r>
        <w:rPr>
          <w:rFonts w:ascii="Calibri" w:eastAsia="Calibri" w:hAnsi="Calibri" w:cs="Calibri"/>
          <w:sz w:val="22"/>
          <w:szCs w:val="22"/>
          <w:highlight w:val="yellow"/>
        </w:rPr>
        <w:t>doplní uchazeč</w:t>
      </w:r>
    </w:p>
    <w:p w14:paraId="00000012" w14:textId="77777777" w:rsidR="00F749C0" w:rsidRDefault="00000000">
      <w:pPr>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b/>
          <w:bCs/>
          <w:sz w:val="22"/>
          <w:szCs w:val="22"/>
        </w:rPr>
        <w:t xml:space="preserve"> </w:t>
      </w:r>
      <w:r>
        <w:rPr>
          <w:rFonts w:ascii="Calibri" w:eastAsia="Calibri" w:hAnsi="Calibri" w:cs="Calibri"/>
          <w:sz w:val="22"/>
          <w:szCs w:val="22"/>
          <w:highlight w:val="yellow"/>
        </w:rPr>
        <w:t>doplní uchazeč</w:t>
      </w:r>
    </w:p>
    <w:p w14:paraId="00000013" w14:textId="77777777" w:rsidR="00F749C0" w:rsidRDefault="00000000">
      <w:pPr>
        <w:rPr>
          <w:rFonts w:ascii="Calibri" w:eastAsia="Calibri" w:hAnsi="Calibri" w:cs="Calibri"/>
          <w:sz w:val="22"/>
          <w:szCs w:val="22"/>
        </w:rPr>
      </w:pPr>
      <w:r>
        <w:rPr>
          <w:rFonts w:ascii="Calibri" w:eastAsia="Calibri" w:hAnsi="Calibri" w:cs="Calibri"/>
          <w:sz w:val="22"/>
          <w:szCs w:val="22"/>
        </w:rPr>
        <w:t xml:space="preserve">zastoupený: </w:t>
      </w:r>
      <w:r>
        <w:rPr>
          <w:rFonts w:ascii="Calibri" w:eastAsia="Calibri" w:hAnsi="Calibri" w:cs="Calibri"/>
          <w:sz w:val="22"/>
          <w:szCs w:val="22"/>
          <w:highlight w:val="yellow"/>
        </w:rPr>
        <w:t>doplní uchazeč</w:t>
      </w:r>
    </w:p>
    <w:p w14:paraId="00000014" w14:textId="77777777" w:rsidR="00F749C0" w:rsidRDefault="00000000">
      <w:pPr>
        <w:rPr>
          <w:rFonts w:ascii="Calibri" w:eastAsia="Calibri" w:hAnsi="Calibri" w:cs="Calibri"/>
          <w:b/>
          <w:bCs/>
          <w:sz w:val="22"/>
          <w:szCs w:val="22"/>
        </w:rPr>
      </w:pPr>
      <w:r>
        <w:rPr>
          <w:rFonts w:ascii="Calibri" w:eastAsia="Calibri" w:hAnsi="Calibri" w:cs="Calibri"/>
          <w:sz w:val="22"/>
          <w:szCs w:val="22"/>
        </w:rPr>
        <w:t>IČ:</w:t>
      </w:r>
      <w:r>
        <w:rPr>
          <w:rFonts w:ascii="Calibri" w:eastAsia="Calibri" w:hAnsi="Calibri" w:cs="Calibri"/>
          <w:b/>
          <w:bCs/>
          <w:sz w:val="22"/>
          <w:szCs w:val="22"/>
        </w:rPr>
        <w:t xml:space="preserve"> </w:t>
      </w:r>
      <w:r>
        <w:rPr>
          <w:rFonts w:ascii="Calibri" w:eastAsia="Calibri" w:hAnsi="Calibri" w:cs="Calibri"/>
          <w:sz w:val="22"/>
          <w:szCs w:val="22"/>
          <w:highlight w:val="yellow"/>
        </w:rPr>
        <w:t>doplní uchazeč</w:t>
      </w:r>
      <w:r>
        <w:rPr>
          <w:rFonts w:ascii="Calibri" w:eastAsia="Calibri" w:hAnsi="Calibri" w:cs="Calibri"/>
          <w:b/>
          <w:bCs/>
          <w:sz w:val="22"/>
          <w:szCs w:val="22"/>
        </w:rPr>
        <w:t xml:space="preserve">    </w:t>
      </w:r>
    </w:p>
    <w:p w14:paraId="00000015" w14:textId="77777777" w:rsidR="00F749C0" w:rsidRDefault="00000000">
      <w:pPr>
        <w:rPr>
          <w:rFonts w:ascii="Calibri" w:eastAsia="Calibri" w:hAnsi="Calibri" w:cs="Calibri"/>
          <w:b/>
          <w:bCs/>
          <w:sz w:val="22"/>
          <w:szCs w:val="22"/>
        </w:rPr>
      </w:pPr>
      <w:r>
        <w:rPr>
          <w:rFonts w:ascii="Calibri" w:eastAsia="Calibri" w:hAnsi="Calibri" w:cs="Calibri"/>
          <w:sz w:val="22"/>
          <w:szCs w:val="22"/>
        </w:rPr>
        <w:t xml:space="preserve">DIČ: </w:t>
      </w:r>
      <w:r>
        <w:rPr>
          <w:rFonts w:ascii="Calibri" w:eastAsia="Calibri" w:hAnsi="Calibri" w:cs="Calibri"/>
          <w:sz w:val="22"/>
          <w:szCs w:val="22"/>
          <w:highlight w:val="yellow"/>
        </w:rPr>
        <w:t>doplní uchazeč</w:t>
      </w:r>
      <w:r>
        <w:rPr>
          <w:rFonts w:ascii="Calibri" w:eastAsia="Calibri" w:hAnsi="Calibri" w:cs="Calibri"/>
          <w:b/>
          <w:bCs/>
          <w:sz w:val="22"/>
          <w:szCs w:val="22"/>
        </w:rPr>
        <w:t xml:space="preserve">             </w:t>
      </w:r>
    </w:p>
    <w:p w14:paraId="00000016" w14:textId="77777777" w:rsidR="00F749C0" w:rsidRDefault="00000000">
      <w:pPr>
        <w:rPr>
          <w:rFonts w:ascii="Calibri" w:eastAsia="Calibri" w:hAnsi="Calibri" w:cs="Calibri"/>
          <w:sz w:val="22"/>
          <w:szCs w:val="22"/>
        </w:rPr>
      </w:pPr>
      <w:r>
        <w:rPr>
          <w:rFonts w:ascii="Calibri" w:eastAsia="Calibri" w:hAnsi="Calibri" w:cs="Calibri"/>
          <w:sz w:val="22"/>
          <w:szCs w:val="22"/>
        </w:rPr>
        <w:t xml:space="preserve">Zapsán v: </w:t>
      </w:r>
      <w:r>
        <w:rPr>
          <w:rFonts w:ascii="Calibri" w:eastAsia="Calibri" w:hAnsi="Calibri" w:cs="Calibri"/>
          <w:sz w:val="22"/>
          <w:szCs w:val="22"/>
          <w:highlight w:val="yellow"/>
        </w:rPr>
        <w:t>doplní uchazeč</w:t>
      </w:r>
      <w:r>
        <w:rPr>
          <w:rFonts w:ascii="Calibri" w:eastAsia="Calibri" w:hAnsi="Calibri" w:cs="Calibri"/>
          <w:b/>
          <w:bCs/>
          <w:sz w:val="22"/>
          <w:szCs w:val="22"/>
        </w:rPr>
        <w:t xml:space="preserve">       </w:t>
      </w:r>
    </w:p>
    <w:p w14:paraId="00000017" w14:textId="77777777" w:rsidR="00F749C0" w:rsidRDefault="00000000">
      <w:pPr>
        <w:rPr>
          <w:rFonts w:ascii="Calibri" w:eastAsia="Calibri" w:hAnsi="Calibri" w:cs="Calibri"/>
          <w:sz w:val="22"/>
          <w:szCs w:val="22"/>
        </w:rPr>
      </w:pPr>
      <w:r>
        <w:rPr>
          <w:rFonts w:ascii="Calibri" w:eastAsia="Calibri" w:hAnsi="Calibri" w:cs="Calibri"/>
          <w:sz w:val="22"/>
          <w:szCs w:val="22"/>
        </w:rPr>
        <w:t xml:space="preserve">Bankovní spojení: </w:t>
      </w:r>
      <w:r>
        <w:rPr>
          <w:rFonts w:ascii="Calibri" w:eastAsia="Calibri" w:hAnsi="Calibri" w:cs="Calibri"/>
          <w:sz w:val="22"/>
          <w:szCs w:val="22"/>
          <w:highlight w:val="yellow"/>
        </w:rPr>
        <w:t>doplní uchazeč</w:t>
      </w:r>
      <w:r>
        <w:rPr>
          <w:rFonts w:ascii="Calibri" w:eastAsia="Calibri" w:hAnsi="Calibri" w:cs="Calibri"/>
          <w:sz w:val="22"/>
          <w:szCs w:val="22"/>
        </w:rPr>
        <w:t>   </w:t>
      </w:r>
    </w:p>
    <w:p w14:paraId="00000018" w14:textId="77777777" w:rsidR="00F749C0"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b/>
          <w:bCs/>
          <w:sz w:val="22"/>
          <w:szCs w:val="22"/>
        </w:rPr>
        <w: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bCs/>
          <w:sz w:val="22"/>
          <w:szCs w:val="22"/>
        </w:rPr>
        <w: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19" w14:textId="77777777"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Předmět a místo plnění</w:t>
      </w:r>
    </w:p>
    <w:p w14:paraId="0000001A"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Předmětem zakázky je dodávka nových otvorových výplní (oken a dveří), včetně prací spojených s jejich výměnou, jako jsou demontáž stávajících výplní a montáž nových, stavební zapravení a práce spojené s nutnou úpravou ostění, a to v budově Lipová 233/20, Brno. Jde z části o dřevěné dveře, z části o kastlová okna, z části o okna z </w:t>
      </w:r>
      <w:proofErr w:type="spellStart"/>
      <w:r>
        <w:rPr>
          <w:rFonts w:ascii="Calibri" w:eastAsia="Calibri" w:hAnsi="Calibri" w:cs="Calibri"/>
          <w:sz w:val="22"/>
          <w:szCs w:val="22"/>
        </w:rPr>
        <w:t>europrofilu</w:t>
      </w:r>
      <w:proofErr w:type="spellEnd"/>
      <w:r>
        <w:rPr>
          <w:rFonts w:ascii="Calibri" w:eastAsia="Calibri" w:hAnsi="Calibri" w:cs="Calibri"/>
          <w:sz w:val="22"/>
          <w:szCs w:val="22"/>
        </w:rPr>
        <w:t xml:space="preserve">. Vedle výroby a dodávky těchto otvorových výplní jsou součástí zakázky také související práce dle přílohy této smlouvy </w:t>
      </w:r>
      <w:r>
        <w:rPr>
          <w:rFonts w:ascii="Calibri" w:eastAsia="Calibri" w:hAnsi="Calibri" w:cs="Calibri"/>
          <w:b/>
          <w:bCs/>
          <w:sz w:val="22"/>
          <w:szCs w:val="22"/>
        </w:rPr>
        <w:t>Technická specifikace zakázky</w:t>
      </w:r>
      <w:r>
        <w:rPr>
          <w:rFonts w:ascii="Calibri" w:eastAsia="Calibri" w:hAnsi="Calibri" w:cs="Calibri"/>
          <w:sz w:val="22"/>
          <w:szCs w:val="22"/>
        </w:rPr>
        <w:t xml:space="preserve">, která je nedílnou součástí této smlouvy. </w:t>
      </w:r>
    </w:p>
    <w:p w14:paraId="0000001B"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Prodávající prohlašuje, že se před podáním nabídky řádně seznámil se všemi podmínkami plnění zakázky, včetně místních a technických podmínek na místě instalace/předání, a že má k dispozici všechny informace potřebné k ocenění veškerých nákladů spojených s řádnou dodávkou a montáží předmětu smlouvy. </w:t>
      </w:r>
    </w:p>
    <w:p w14:paraId="0000001C"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Prodávající také potvrzuje, že předmět zakázky je za sjednanou cenu kompletně a realizovatelně proveditelný dle zadávacích podmínek a </w:t>
      </w:r>
      <w:r>
        <w:rPr>
          <w:rFonts w:ascii="Calibri" w:eastAsia="Calibri" w:hAnsi="Calibri" w:cs="Calibri"/>
          <w:b/>
          <w:bCs/>
          <w:sz w:val="22"/>
          <w:szCs w:val="22"/>
        </w:rPr>
        <w:t>Technické specifikace</w:t>
      </w:r>
      <w:r>
        <w:rPr>
          <w:rFonts w:ascii="Calibri" w:eastAsia="Calibri" w:hAnsi="Calibri" w:cs="Calibri"/>
          <w:sz w:val="22"/>
          <w:szCs w:val="22"/>
        </w:rPr>
        <w:t>, která je přílohou smlouvy.</w:t>
      </w:r>
    </w:p>
    <w:p w14:paraId="0000001D"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bere na vědomí, že nárok na úhradu dodatečných plnění nebo zvýšení kupní ceny na základě skutečností, které mohl zjistit při vynaložení odborné péče při přípravě své nabídky (např. nezbytných doplňkových stavebních prací, stavební připravenosti, místních podmínek atd.), nevzniká. </w:t>
      </w:r>
    </w:p>
    <w:p w14:paraId="0000001E"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požaduje, aby během smluvních prací nedošlo k narušení ochrany majetku Kupujícího. Prodávající je povinen dotčenou část objektu dostatečně zabezpečit. Prodávající je povinen, před započetím prací, ochránit všechny vnitřní prostory, ve kterých se bude pohybovat.</w:t>
      </w:r>
    </w:p>
    <w:p w14:paraId="0000001F"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Vícepráce mohou být provedeny pouze na základě písemné objednávky Kupujícího. Ceny víceprací budou přednostně určeny podle jednotkových cen nabídkového rozpočtu. Není-li </w:t>
      </w:r>
      <w:r>
        <w:rPr>
          <w:rFonts w:ascii="Calibri" w:eastAsia="Calibri" w:hAnsi="Calibri" w:cs="Calibri"/>
          <w:sz w:val="22"/>
          <w:szCs w:val="22"/>
        </w:rPr>
        <w:lastRenderedPageBreak/>
        <w:t>položka v rozpočtu, stanoví se cena po dohodě smluvních stran, přičemž musí odpovídat ceně obvyklé v místě a čase plnění. Kupující je oprávněn požadovat předložení kalkulací nebo srovnání obdobných cen na trhu.</w:t>
      </w:r>
    </w:p>
    <w:p w14:paraId="00000020" w14:textId="77777777" w:rsidR="00F749C0" w:rsidRDefault="00000000">
      <w:pPr>
        <w:numPr>
          <w:ilvl w:val="1"/>
          <w:numId w:val="2"/>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dodá a namontuje výrobky a materiály, které jsou definovány minimálně technickým vymezením v technické specifikaci. Zároveň s předáním Předmětu dodávky předá Prodávající také veškeré technické listy, prohlášení o shodě, případně další dokumenty k materiálům a výrobkům, které jejich odpovídající technické parametry dokládají.</w:t>
      </w:r>
    </w:p>
    <w:p w14:paraId="00000022" w14:textId="30902D8C" w:rsidR="00F749C0" w:rsidRPr="00CE1027" w:rsidRDefault="00000000" w:rsidP="00CE1027">
      <w:pPr>
        <w:numPr>
          <w:ilvl w:val="1"/>
          <w:numId w:val="2"/>
        </w:numPr>
        <w:pBdr>
          <w:top w:val="nil"/>
          <w:left w:val="nil"/>
          <w:bottom w:val="nil"/>
          <w:right w:val="nil"/>
          <w:between w:val="nil"/>
        </w:pBdr>
        <w:jc w:val="both"/>
        <w:rPr>
          <w:rFonts w:ascii="Calibri" w:eastAsia="Calibri" w:hAnsi="Calibri" w:cs="Calibri"/>
          <w:sz w:val="22"/>
          <w:szCs w:val="22"/>
        </w:rPr>
      </w:pPr>
      <w:r w:rsidRPr="00CE1027">
        <w:rPr>
          <w:rFonts w:ascii="Calibri" w:eastAsia="Calibri" w:hAnsi="Calibri" w:cs="Calibri"/>
          <w:sz w:val="22"/>
          <w:szCs w:val="22"/>
        </w:rPr>
        <w:t>Zakázka je zadávána pro realizaci projektu „Ekologizace provozu a zkvalitnění zázemí pro klimatické vzdělávání pracovišť Lipky ve městě Brně“, registrační číslo CZ.05.01.03/09/22_018/0000950.</w:t>
      </w:r>
    </w:p>
    <w:p w14:paraId="00000023" w14:textId="77777777"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Doba plnění</w:t>
      </w:r>
    </w:p>
    <w:p w14:paraId="00000024" w14:textId="77777777" w:rsidR="00F749C0" w:rsidRDefault="00000000" w:rsidP="00CE1027">
      <w:pPr>
        <w:widowControl/>
        <w:numPr>
          <w:ilvl w:val="1"/>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Prodávající se zavazuje provést veškeré montážní a související práce prováděné z interiéru (dle specifikace v rozpočtu) v období </w:t>
      </w:r>
      <w:r>
        <w:rPr>
          <w:rFonts w:ascii="Calibri" w:eastAsia="Calibri" w:hAnsi="Calibri" w:cs="Calibri"/>
          <w:b/>
          <w:bCs/>
          <w:color w:val="000000"/>
          <w:sz w:val="22"/>
          <w:szCs w:val="22"/>
        </w:rPr>
        <w:t>od 31. 8. 2026 do 24. 9. 2026</w:t>
      </w:r>
      <w:r>
        <w:rPr>
          <w:rFonts w:ascii="Calibri" w:eastAsia="Calibri" w:hAnsi="Calibri" w:cs="Calibri"/>
          <w:color w:val="000000"/>
          <w:sz w:val="22"/>
          <w:szCs w:val="22"/>
        </w:rPr>
        <w:t>.</w:t>
      </w:r>
    </w:p>
    <w:p w14:paraId="00000026" w14:textId="1E77C1E3" w:rsidR="00F749C0" w:rsidRPr="00CE1027" w:rsidRDefault="00000000" w:rsidP="00CE1027">
      <w:pPr>
        <w:widowControl/>
        <w:numPr>
          <w:ilvl w:val="1"/>
          <w:numId w:val="14"/>
        </w:numPr>
        <w:pBdr>
          <w:top w:val="nil"/>
          <w:left w:val="nil"/>
          <w:bottom w:val="nil"/>
          <w:right w:val="nil"/>
          <w:between w:val="nil"/>
        </w:pBdr>
        <w:rPr>
          <w:rFonts w:ascii="Calibri" w:eastAsia="Calibri" w:hAnsi="Calibri" w:cs="Calibri"/>
          <w:color w:val="000000"/>
          <w:sz w:val="22"/>
          <w:szCs w:val="22"/>
        </w:rPr>
      </w:pPr>
      <w:r w:rsidRPr="00CE1027">
        <w:rPr>
          <w:rFonts w:ascii="Calibri" w:eastAsia="Calibri" w:hAnsi="Calibri" w:cs="Calibri"/>
          <w:color w:val="000000"/>
          <w:sz w:val="22"/>
          <w:szCs w:val="22"/>
        </w:rPr>
        <w:t xml:space="preserve">Veškeré práce prováděné z exteriéru, zejména zednické zapravení fasády a dokončovací práce, se Prodávající zavazuje provést </w:t>
      </w:r>
      <w:r w:rsidRPr="00CE1027">
        <w:rPr>
          <w:rFonts w:ascii="Calibri" w:eastAsia="Calibri" w:hAnsi="Calibri" w:cs="Calibri"/>
          <w:b/>
          <w:bCs/>
          <w:color w:val="000000"/>
          <w:sz w:val="22"/>
          <w:szCs w:val="22"/>
        </w:rPr>
        <w:t>nejpozději do 8. 10. 2026</w:t>
      </w:r>
      <w:r w:rsidRPr="00CE1027">
        <w:rPr>
          <w:rFonts w:ascii="Calibri" w:eastAsia="Calibri" w:hAnsi="Calibri" w:cs="Calibri"/>
          <w:color w:val="000000"/>
          <w:sz w:val="22"/>
          <w:szCs w:val="22"/>
        </w:rPr>
        <w:t>.</w:t>
      </w:r>
    </w:p>
    <w:p w14:paraId="00000027" w14:textId="77777777"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bookmarkStart w:id="0" w:name="_heading=h.3znysh7" w:colFirst="0" w:colLast="0"/>
      <w:bookmarkEnd w:id="0"/>
      <w:r>
        <w:rPr>
          <w:rFonts w:ascii="Calibri" w:eastAsia="Calibri" w:hAnsi="Calibri" w:cs="Calibri"/>
          <w:b/>
          <w:bCs/>
          <w:color w:val="000000"/>
          <w:sz w:val="22"/>
          <w:szCs w:val="22"/>
          <w:u w:val="single"/>
        </w:rPr>
        <w:t>Cena a způsob její úhrady</w:t>
      </w:r>
    </w:p>
    <w:p w14:paraId="00000028" w14:textId="77777777" w:rsidR="00F749C0" w:rsidRDefault="00000000" w:rsidP="00CE1027">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Cena předmětu dodávky je stanovena dohodou smluvních stran a činí</w:t>
      </w:r>
      <w:r>
        <w:rPr>
          <w:rFonts w:ascii="Calibri" w:eastAsia="Calibri" w:hAnsi="Calibri" w:cs="Calibri"/>
          <w:b/>
          <w:bCs/>
          <w:color w:val="000000"/>
          <w:sz w:val="22"/>
          <w:szCs w:val="22"/>
        </w:rPr>
        <w:t xml:space="preserve"> </w:t>
      </w:r>
      <w:proofErr w:type="spellStart"/>
      <w:proofErr w:type="gramStart"/>
      <w:r>
        <w:rPr>
          <w:rFonts w:ascii="Calibri" w:eastAsia="Calibri" w:hAnsi="Calibri" w:cs="Calibri"/>
          <w:b/>
          <w:bCs/>
          <w:color w:val="000000"/>
          <w:sz w:val="22"/>
          <w:szCs w:val="22"/>
          <w:highlight w:val="yellow"/>
        </w:rPr>
        <w:t>xxx.xxx</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Kč (doplní uchazeč v nabídce)</w:t>
      </w:r>
      <w:r>
        <w:rPr>
          <w:rFonts w:ascii="Calibri" w:eastAsia="Calibri" w:hAnsi="Calibri" w:cs="Calibri"/>
          <w:color w:val="000000"/>
          <w:sz w:val="22"/>
          <w:szCs w:val="22"/>
        </w:rPr>
        <w:t xml:space="preserve"> bez DPH. DPH představuje částku ve výši </w:t>
      </w:r>
      <w:proofErr w:type="spellStart"/>
      <w:proofErr w:type="gramStart"/>
      <w:r>
        <w:rPr>
          <w:rFonts w:ascii="Calibri" w:eastAsia="Calibri" w:hAnsi="Calibri" w:cs="Calibri"/>
          <w:color w:val="000000"/>
          <w:sz w:val="22"/>
          <w:szCs w:val="22"/>
          <w:highlight w:val="yellow"/>
        </w:rPr>
        <w:t>xxx.xxx</w:t>
      </w:r>
      <w:proofErr w:type="spellEnd"/>
      <w:r>
        <w:rPr>
          <w:rFonts w:ascii="Calibri" w:eastAsia="Calibri" w:hAnsi="Calibri" w:cs="Calibri"/>
          <w:color w:val="000000"/>
          <w:sz w:val="22"/>
          <w:szCs w:val="22"/>
          <w:highlight w:val="yellow"/>
        </w:rPr>
        <w:t>,-</w:t>
      </w:r>
      <w:proofErr w:type="gramEnd"/>
      <w:r>
        <w:rPr>
          <w:rFonts w:ascii="Calibri" w:eastAsia="Calibri" w:hAnsi="Calibri" w:cs="Calibri"/>
          <w:color w:val="000000"/>
          <w:sz w:val="22"/>
          <w:szCs w:val="22"/>
          <w:highlight w:val="yellow"/>
        </w:rPr>
        <w:t xml:space="preserve"> Kč (doplní uchazeč v nabídce)</w:t>
      </w:r>
      <w:r>
        <w:rPr>
          <w:rFonts w:ascii="Calibri" w:eastAsia="Calibri" w:hAnsi="Calibri" w:cs="Calibri"/>
          <w:color w:val="000000"/>
          <w:sz w:val="22"/>
          <w:szCs w:val="22"/>
        </w:rPr>
        <w:t xml:space="preserve">. Celková cena včetně DPH je </w:t>
      </w:r>
      <w:proofErr w:type="spellStart"/>
      <w:proofErr w:type="gramStart"/>
      <w:r>
        <w:rPr>
          <w:rFonts w:ascii="Calibri" w:eastAsia="Calibri" w:hAnsi="Calibri" w:cs="Calibri"/>
          <w:color w:val="000000"/>
          <w:sz w:val="22"/>
          <w:szCs w:val="22"/>
          <w:highlight w:val="yellow"/>
        </w:rPr>
        <w:t>xxx.xxx</w:t>
      </w:r>
      <w:proofErr w:type="spellEnd"/>
      <w:r>
        <w:rPr>
          <w:rFonts w:ascii="Calibri" w:eastAsia="Calibri" w:hAnsi="Calibri" w:cs="Calibri"/>
          <w:color w:val="000000"/>
          <w:sz w:val="22"/>
          <w:szCs w:val="22"/>
          <w:highlight w:val="yellow"/>
        </w:rPr>
        <w:t>,-</w:t>
      </w:r>
      <w:proofErr w:type="gramEnd"/>
      <w:r>
        <w:rPr>
          <w:rFonts w:ascii="Calibri" w:eastAsia="Calibri" w:hAnsi="Calibri" w:cs="Calibri"/>
          <w:color w:val="000000"/>
          <w:sz w:val="22"/>
          <w:szCs w:val="22"/>
          <w:highlight w:val="yellow"/>
        </w:rPr>
        <w:t xml:space="preserve"> Kč (doplní uchazeč v nabídce) </w:t>
      </w:r>
    </w:p>
    <w:p w14:paraId="00000029" w14:textId="77777777" w:rsidR="00F749C0" w:rsidRDefault="00000000" w:rsidP="00CE1027">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Výše sazby DPH činí 21 % vzhledem k tomu, že objekt, na který je předmět dodávky instalováno, není určen k bydlení. </w:t>
      </w:r>
    </w:p>
    <w:p w14:paraId="0000002A" w14:textId="77777777" w:rsidR="00F749C0" w:rsidRDefault="00000000" w:rsidP="00CE1027">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Platba ceny předmětu dodávky bude Kupujícím provedena následovně: </w:t>
      </w:r>
    </w:p>
    <w:p w14:paraId="0000002B" w14:textId="77777777" w:rsidR="00F749C0" w:rsidRDefault="00000000" w:rsidP="00CE1027">
      <w:pPr>
        <w:widowControl/>
        <w:numPr>
          <w:ilvl w:val="2"/>
          <w:numId w:val="15"/>
        </w:numPr>
        <w:rPr>
          <w:rFonts w:ascii="Calibri" w:eastAsia="Calibri" w:hAnsi="Calibri" w:cs="Calibri"/>
          <w:color w:val="000000"/>
          <w:sz w:val="22"/>
          <w:szCs w:val="22"/>
        </w:rPr>
      </w:pPr>
      <w:r>
        <w:rPr>
          <w:rFonts w:ascii="Calibri" w:eastAsia="Calibri" w:hAnsi="Calibri" w:cs="Calibri"/>
          <w:color w:val="000000"/>
          <w:sz w:val="22"/>
          <w:szCs w:val="22"/>
        </w:rPr>
        <w:t>Po protokolárním dokončení prací v interiéru je Prodávající oprávněn vystavit dílčí fakturu na všechny zcela dokončené položky, a to bez vad a nedodělků bránících jejich užívání. Položky týkající se dokončovacích/stavebních prací (zejména stavební zapravení ostění) lze fakturovat pouze tehdy, jsou-li dokončeny u příslušné výplně v plném rozsahu – tedy z obou stran (interiér i exteriér).</w:t>
      </w:r>
    </w:p>
    <w:p w14:paraId="0000002C" w14:textId="77777777" w:rsidR="00F749C0" w:rsidRDefault="00000000" w:rsidP="00CE1027">
      <w:pPr>
        <w:widowControl/>
        <w:numPr>
          <w:ilvl w:val="2"/>
          <w:numId w:val="15"/>
        </w:numPr>
        <w:rPr>
          <w:rFonts w:ascii="Calibri" w:eastAsia="Calibri" w:hAnsi="Calibri" w:cs="Calibri"/>
          <w:color w:val="000000"/>
          <w:sz w:val="22"/>
          <w:szCs w:val="22"/>
        </w:rPr>
      </w:pPr>
      <w:r>
        <w:rPr>
          <w:rFonts w:ascii="Calibri" w:eastAsia="Calibri" w:hAnsi="Calibri" w:cs="Calibri"/>
          <w:color w:val="000000"/>
          <w:sz w:val="22"/>
          <w:szCs w:val="22"/>
        </w:rPr>
        <w:t>Konečná faktura může být vystavena po dokončení všech položek v rozpočtu a po předání celého předmětu dodávky bez vad bránících užívání.</w:t>
      </w:r>
    </w:p>
    <w:p w14:paraId="0000002D" w14:textId="77777777" w:rsidR="00F749C0" w:rsidRDefault="00000000" w:rsidP="00CE1027">
      <w:pPr>
        <w:widowControl/>
        <w:numPr>
          <w:ilvl w:val="2"/>
          <w:numId w:val="15"/>
        </w:numPr>
        <w:rPr>
          <w:rFonts w:ascii="Calibri" w:eastAsia="Calibri" w:hAnsi="Calibri" w:cs="Calibri"/>
          <w:color w:val="000000"/>
          <w:sz w:val="22"/>
          <w:szCs w:val="22"/>
        </w:rPr>
      </w:pPr>
      <w:r>
        <w:rPr>
          <w:rFonts w:ascii="Calibri" w:eastAsia="Calibri" w:hAnsi="Calibri" w:cs="Calibri"/>
          <w:color w:val="000000"/>
          <w:sz w:val="22"/>
          <w:szCs w:val="22"/>
        </w:rPr>
        <w:t xml:space="preserve">Veškeré práce spojené se stavebním zapravením a související stavební práce (ať již prováděné v interiéru nebo exteriéru) budou fakturovány až po jejich úplném dokončení a protokolárním předání </w:t>
      </w:r>
      <w:r>
        <w:rPr>
          <w:rFonts w:ascii="Calibri" w:eastAsia="Calibri" w:hAnsi="Calibri" w:cs="Calibri"/>
          <w:sz w:val="22"/>
          <w:szCs w:val="22"/>
        </w:rPr>
        <w:t>K</w:t>
      </w:r>
      <w:r>
        <w:rPr>
          <w:rFonts w:ascii="Calibri" w:eastAsia="Calibri" w:hAnsi="Calibri" w:cs="Calibri"/>
          <w:color w:val="000000"/>
          <w:sz w:val="22"/>
          <w:szCs w:val="22"/>
        </w:rPr>
        <w:t>upujícímu jako celek bez vad bránících užívání.</w:t>
      </w:r>
    </w:p>
    <w:p w14:paraId="0000002E" w14:textId="77777777" w:rsidR="00F749C0" w:rsidRDefault="00000000" w:rsidP="00CE1027">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Všechny faktury musí mít náležitosti daňového dokladu dle § 28 zákona č. 235/2004 Sb., o dani z přidané hodnoty, v platném znění. Faktury budou mít splatnost minimálně 14 dní od doručení faktury Kupujícímu.</w:t>
      </w:r>
    </w:p>
    <w:p w14:paraId="00000030" w14:textId="30A98A96" w:rsidR="00F749C0" w:rsidRDefault="00000000" w:rsidP="00CE1027">
      <w:pPr>
        <w:numPr>
          <w:ilvl w:val="1"/>
          <w:numId w:val="15"/>
        </w:numPr>
        <w:pBdr>
          <w:top w:val="nil"/>
          <w:left w:val="nil"/>
          <w:bottom w:val="nil"/>
          <w:right w:val="nil"/>
          <w:between w:val="nil"/>
        </w:pBdr>
        <w:jc w:val="both"/>
      </w:pPr>
      <w:r w:rsidRPr="00CE1027">
        <w:rPr>
          <w:rFonts w:ascii="Calibri" w:eastAsia="Calibri" w:hAnsi="Calibri" w:cs="Calibri"/>
          <w:color w:val="000000"/>
          <w:sz w:val="22"/>
          <w:szCs w:val="22"/>
        </w:rPr>
        <w:t>Faktury vystavené Prodávajícím na základě této smlouvy bud</w:t>
      </w:r>
      <w:r w:rsidRPr="00CE1027">
        <w:rPr>
          <w:rFonts w:ascii="Calibri" w:eastAsia="Calibri" w:hAnsi="Calibri" w:cs="Calibri"/>
          <w:sz w:val="22"/>
          <w:szCs w:val="22"/>
        </w:rPr>
        <w:t>ou</w:t>
      </w:r>
      <w:r w:rsidRPr="00CE1027">
        <w:rPr>
          <w:rFonts w:ascii="Calibri" w:eastAsia="Calibri" w:hAnsi="Calibri" w:cs="Calibri"/>
          <w:color w:val="000000"/>
          <w:sz w:val="22"/>
          <w:szCs w:val="22"/>
        </w:rPr>
        <w:t xml:space="preserve"> vždy obsahovat větu „Zakázka je realizována pro projekt s registračním číslem CZ.05.01.03/09/22_018/000095</w:t>
      </w:r>
      <w:r w:rsidRPr="00CE1027">
        <w:rPr>
          <w:rFonts w:ascii="Calibri" w:eastAsia="Calibri" w:hAnsi="Calibri" w:cs="Calibri"/>
          <w:sz w:val="22"/>
          <w:szCs w:val="22"/>
        </w:rPr>
        <w:t>0</w:t>
      </w:r>
      <w:r w:rsidRPr="00CE1027">
        <w:rPr>
          <w:rFonts w:ascii="Calibri" w:eastAsia="Calibri" w:hAnsi="Calibri" w:cs="Calibri"/>
          <w:color w:val="000000"/>
          <w:sz w:val="22"/>
          <w:szCs w:val="22"/>
        </w:rPr>
        <w:t>“.</w:t>
      </w:r>
    </w:p>
    <w:p w14:paraId="00000032" w14:textId="77777777" w:rsidR="00F749C0"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Pravidla pro realizaci montážních prací v místě plnění</w:t>
      </w:r>
    </w:p>
    <w:p w14:paraId="00000033"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zajistí Prodávajícímu po dobu plnění přístup a volné prostory potřebné pro montáž a související práce. V období od zahájení montáže do dokončení vnitřních prací (nejpozději do 24. 9. 2026) bude provoz v budově omezen tak, aby bylo možné bezpečně a nerušeně práce provádět; Kupující v tomto období přizpůsobí režim objektu potřebám montáže.</w:t>
      </w:r>
    </w:p>
    <w:p w14:paraId="00000034"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Po tomto termínu (po dokončení vnitřních prací a předání této části předmětu smlouvy) může být provoz objektu částečně obnoven (zahájen běžný provoz školského zařízení), a montážní nebo stavební práce Prodávajícího musí být prováděny tak, aby nenarušovaly zásadním způsobem běžný provoz a bezpečí dětí a ostatních uživatelů objektu.</w:t>
      </w:r>
    </w:p>
    <w:p w14:paraId="00000035"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Pokud bude nutné pracovat v objektu mimo dobu určenou pro montáž vnitřních prací, podmínky výkonu práce budou stanoveny samostatnou dohodou obou stran (dodatkem ke smlouvě).</w:t>
      </w:r>
    </w:p>
    <w:p w14:paraId="00000036"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lastRenderedPageBreak/>
        <w:t>Prodávající je povinen umožnit Kupujícímu provádět přiměřenou kontrolu montážních činností na místě dodání.</w:t>
      </w:r>
    </w:p>
    <w:p w14:paraId="00000037"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povinen při všech činnostech v areálu dodržovat pravidla Kupujícího týkající se BOZP, požární ochrany, ochrany majetku a pohybu osob, včetně pokynů pověřených pracovníků Kupujícího.</w:t>
      </w:r>
    </w:p>
    <w:p w14:paraId="00000038"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odpovídá za to, že při provádění montáže a všech navazujících prací nedojde k poškození objektu či vybavení, ani jiného majetku Kupujícího nebo třetích osob. Vzniklou škodu je povinen neprodleně napravit nebo zajistit její náhradu.</w:t>
      </w:r>
    </w:p>
    <w:p w14:paraId="00000039"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povinen udržovat pořádek na místě plnění, průběžně odstraňovat odpady vzniklé při činnosti a po ukončení prací provést úklid a uvedení prostor do původního stavu. Veškerý odpad likviduje v souladu s právními předpisy.</w:t>
      </w:r>
    </w:p>
    <w:p w14:paraId="0000003A"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Náklady spojené s opatřeními potřebnými pro realizaci (např. případný zábor komunikací, doprava, lešení) hradí Prodávající, není-li dohodnuto jinak.</w:t>
      </w:r>
    </w:p>
    <w:p w14:paraId="0000003B" w14:textId="77777777" w:rsidR="00F749C0" w:rsidRDefault="00000000" w:rsidP="00CE1027">
      <w:pPr>
        <w:numPr>
          <w:ilvl w:val="1"/>
          <w:numId w:val="1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umožní Prodávajícímu dočasné využití provozního a sociálního zázemí (WC apod.) v rozsahu nezbytném pro realizaci, podle dohodnutých pravidel.</w:t>
      </w:r>
    </w:p>
    <w:p w14:paraId="0000003E" w14:textId="6BE832AB" w:rsidR="00F749C0" w:rsidRPr="00CE1027" w:rsidRDefault="00000000" w:rsidP="00CE1027">
      <w:pPr>
        <w:widowControl/>
        <w:numPr>
          <w:ilvl w:val="1"/>
          <w:numId w:val="16"/>
        </w:numPr>
        <w:pBdr>
          <w:top w:val="nil"/>
          <w:left w:val="nil"/>
          <w:bottom w:val="nil"/>
          <w:right w:val="nil"/>
          <w:between w:val="nil"/>
        </w:pBdr>
        <w:spacing w:line="276" w:lineRule="auto"/>
        <w:jc w:val="both"/>
        <w:rPr>
          <w:rFonts w:ascii="Calibri" w:eastAsia="Calibri" w:hAnsi="Calibri" w:cs="Calibri"/>
          <w:sz w:val="22"/>
          <w:szCs w:val="22"/>
        </w:rPr>
      </w:pPr>
      <w:r w:rsidRPr="00CE1027">
        <w:rPr>
          <w:rFonts w:ascii="Calibri" w:eastAsia="Calibri" w:hAnsi="Calibri" w:cs="Calibri"/>
          <w:sz w:val="22"/>
          <w:szCs w:val="22"/>
        </w:rPr>
        <w:t>Odpovědnost za školení zaměstnanců a subdodavatelů k místním pravidlům je na Prodávajícím.</w:t>
      </w:r>
    </w:p>
    <w:p w14:paraId="0000003F" w14:textId="77777777" w:rsidR="00F749C0"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Další ujednání k realizaci zakázky</w:t>
      </w:r>
    </w:p>
    <w:p w14:paraId="00000040"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je oprávněn určit odpovědnou osobu pověřenou kontrolou realizace a právem udílet v průběhu montážních prací pokyny směřující k bezpečné a řádné realizaci dodávky. Tato osoba není oprávněna měnit smluvní podmínky ani schvalovat vícepráce.</w:t>
      </w:r>
    </w:p>
    <w:p w14:paraId="00000041"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je oprávněn provádět kdykoli kontroly průběhu realizace, být přítomen při montážních a souvisejících pracích a kontrolovat kvalitu a bezpečnost provádění.</w:t>
      </w:r>
    </w:p>
    <w:p w14:paraId="00000042"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odpovídá za to, že všechny odborné montážní a stavební práce budou vykonávat osoby s odpovídající kvalifikací a zkušenostmi. Prodávající je povinen na požádání Kupujícího doložit kvalifikaci všech osob přítomných v místě montáže, včetně subdodavatelů.</w:t>
      </w:r>
    </w:p>
    <w:p w14:paraId="00000043"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povinen respektovat pokyny Kupujícího, které směřují k zajištění bezpečnosti, pořádku a hladkého provozu objektu. Pokud by pokyn Kupujícího mohl vést k neplnění smluvních povinností, je prodávající povinen na tuto skutečnost bezodkladně upozornit.</w:t>
      </w:r>
    </w:p>
    <w:p w14:paraId="00000044"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odpovídá za škodu způsobenou při provádění zakázky Kupujícímu nebo třetím osobám, a je povinen škodu neprodleně odstranit nebo na vyžádání uhradit. To platí i pro škodu způsobenou subdodavateli či jeho pracovníky.</w:t>
      </w:r>
    </w:p>
    <w:p w14:paraId="00000045"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povinen být pojištěn proti škodě způsobené vlastní činností v rozsahu min. 100 % ze sjednané ceny předmětu dodávky, pojistnou smlouvu předloží Kupujícímu na vyžádání.</w:t>
      </w:r>
    </w:p>
    <w:p w14:paraId="00000046"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oprávněn pověřit částí zakázky subdodavatele. Požádá-li Kupující, je Prodávající povinen doložit seznam významných subdodavatelů, včetně jejich kvalifikace.</w:t>
      </w:r>
    </w:p>
    <w:p w14:paraId="00000047"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Přechod nebezpečí škody na předmětu dodávky nastává podpisem předávacího protokolu.</w:t>
      </w:r>
    </w:p>
    <w:p w14:paraId="00000048" w14:textId="77777777" w:rsidR="00F749C0" w:rsidRDefault="00000000">
      <w:pPr>
        <w:numPr>
          <w:ilvl w:val="1"/>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Režim předání a převzetí předmětu dodávky je upraven v samostatném článku smlouvy.</w:t>
      </w:r>
    </w:p>
    <w:p w14:paraId="0000004A" w14:textId="77777777" w:rsidR="00F749C0" w:rsidRDefault="00F749C0"/>
    <w:p w14:paraId="0000004B" w14:textId="77777777" w:rsidR="00F749C0"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Předání a převzetí předmětu dodávky</w:t>
      </w:r>
    </w:p>
    <w:p w14:paraId="0000004C" w14:textId="77777777" w:rsidR="00F749C0" w:rsidRDefault="00000000">
      <w:pPr>
        <w:numPr>
          <w:ilvl w:val="1"/>
          <w:numId w:val="6"/>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Předání a převzetí předmětu dodávky probíhá ve dvou etapách: </w:t>
      </w:r>
    </w:p>
    <w:p w14:paraId="0000004E" w14:textId="77777777" w:rsidR="00F749C0" w:rsidRDefault="00000000">
      <w:pPr>
        <w:numPr>
          <w:ilvl w:val="2"/>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První předání se uskuteční po dokončení všech prací v interiéru objektu včetně montáže a souvisejících prací (dle čl. III této smlouvy, nejpozději do 24. 9. 2026). O tomto předání bude pořízen předávací protokol, podepsaný oprávněnými zástupci obou stran. </w:t>
      </w:r>
    </w:p>
    <w:p w14:paraId="0000004F" w14:textId="77777777" w:rsidR="00F749C0" w:rsidRDefault="00000000">
      <w:pPr>
        <w:numPr>
          <w:ilvl w:val="2"/>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Druhé, konečné předání proběhne po dokončení všech ostatních prací (zejména vnějších a souvisejících dokončovacích prací), nejpozději do 8. 10. 2026, rovněž na základě protokolu podepsaného oběma stranami.</w:t>
      </w:r>
    </w:p>
    <w:p w14:paraId="00000050" w14:textId="77777777" w:rsidR="00F749C0" w:rsidRDefault="00000000">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Předávací protokol musí obsahovat: datum a rozsah provedení předání, případné vady nebo nedodělky a termín k jejich odstranění, prohlášení, zda přebíraná část předmětu dodávky umožňuje řádné užívání, podpisy obou stran.</w:t>
      </w:r>
    </w:p>
    <w:p w14:paraId="00000051" w14:textId="77777777" w:rsidR="00F749C0" w:rsidRDefault="00000000">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lastRenderedPageBreak/>
        <w:t>Prodávající se zavazuje při předání předmětu dodávky předat Kupujícímu veškeré návody, certifikáty, prohlášení o shodě a všechny další doklady a dokumenty potřebné k řádnému převzetí, užívání a údržbě předmětu dodávky. Na vyžádání Kupujícího je Prodávající povinen poučit nebo proškolit pověřené osoby Kupujícího o správném užívání, údržbě a provozu dodaných výrobků.</w:t>
      </w:r>
    </w:p>
    <w:p w14:paraId="00000052" w14:textId="77777777" w:rsidR="00F749C0" w:rsidRDefault="00000000">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je oprávněn odmítnout převzetí kterékoli části předmětu dodávky, pokud obsahuje vady bránící jejímu řádnému užívání. Takové vady budou v protokolu přesně specifikovány a Prodávající se zavazuje je odstranit v dohodnutém termínu.</w:t>
      </w:r>
    </w:p>
    <w:p w14:paraId="00000053" w14:textId="77777777" w:rsidR="00F749C0" w:rsidRDefault="00000000">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Pokud Kupující zjistí vadu až po převzetí, která existovala při předání, zachovává veškerá práva z vadného plnění dle zákona i této smlouvy.</w:t>
      </w:r>
    </w:p>
    <w:p w14:paraId="00000055" w14:textId="5267FD56" w:rsidR="00F749C0" w:rsidRPr="00CE1027" w:rsidRDefault="00000000" w:rsidP="00CE1027">
      <w:pPr>
        <w:numPr>
          <w:ilvl w:val="1"/>
          <w:numId w:val="10"/>
        </w:numPr>
        <w:pBdr>
          <w:top w:val="nil"/>
          <w:left w:val="nil"/>
          <w:bottom w:val="nil"/>
          <w:right w:val="nil"/>
          <w:between w:val="nil"/>
        </w:pBdr>
        <w:jc w:val="both"/>
        <w:rPr>
          <w:rFonts w:ascii="Calibri" w:eastAsia="Calibri" w:hAnsi="Calibri" w:cs="Calibri"/>
          <w:sz w:val="22"/>
          <w:szCs w:val="22"/>
        </w:rPr>
      </w:pPr>
      <w:r w:rsidRPr="00CE1027">
        <w:rPr>
          <w:rFonts w:ascii="Calibri" w:eastAsia="Calibri" w:hAnsi="Calibri" w:cs="Calibri"/>
          <w:sz w:val="22"/>
          <w:szCs w:val="22"/>
        </w:rPr>
        <w:t>Přechod nebezpečí škody na předmětu dodávky nastává okamžikem protokolárního převzetí Kupujícím.</w:t>
      </w:r>
    </w:p>
    <w:p w14:paraId="00000057" w14:textId="77777777"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Odstoupení od smlouvy</w:t>
      </w:r>
    </w:p>
    <w:p w14:paraId="00000058" w14:textId="77777777" w:rsidR="00F749C0" w:rsidRDefault="00000000">
      <w:pPr>
        <w:numPr>
          <w:ilvl w:val="1"/>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oprávněn odstoupit od této smlouvy na základě písemného oznámení zaslaného Kupujícímu v případě, že:</w:t>
      </w:r>
    </w:p>
    <w:p w14:paraId="00000059" w14:textId="77777777" w:rsidR="00F749C0" w:rsidRDefault="00000000">
      <w:pPr>
        <w:numPr>
          <w:ilvl w:val="2"/>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že bude Kupující v prodlení více jak 15 dní s placením dohodnutých částí ceny předmětu dodávky, nebo </w:t>
      </w:r>
    </w:p>
    <w:p w14:paraId="0000005A" w14:textId="77777777" w:rsidR="00F749C0" w:rsidRDefault="00000000">
      <w:pPr>
        <w:numPr>
          <w:ilvl w:val="2"/>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pokud Kupující neposkytne Prodávajícímu v souladu s § 2591 občanského zákoníku součinnost</w:t>
      </w:r>
    </w:p>
    <w:p w14:paraId="0000005B" w14:textId="77777777" w:rsidR="00F749C0" w:rsidRDefault="00000000">
      <w:pPr>
        <w:numPr>
          <w:ilvl w:val="1"/>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je oprávněn odstoupit od této smlouvy na základě písemného oznámení zaslaného Prodávajícímu v případě, že</w:t>
      </w:r>
    </w:p>
    <w:p w14:paraId="0000005C" w14:textId="77777777" w:rsidR="00F749C0" w:rsidRDefault="00000000">
      <w:pPr>
        <w:numPr>
          <w:ilvl w:val="2"/>
          <w:numId w:val="1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zvýší cenu nad rámec rozpočtu z důvodu mimořádné nepředvídatelné okolnosti (mimo dohodnuté vícepráce či změnu rozpočtu) a Kupující s tímto zvýšením ceny nesouhlasí, nebo</w:t>
      </w:r>
    </w:p>
    <w:p w14:paraId="0000005D" w14:textId="77777777" w:rsidR="00F749C0" w:rsidRDefault="00000000">
      <w:pPr>
        <w:numPr>
          <w:ilvl w:val="2"/>
          <w:numId w:val="1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Prodávající je v prodlení s dodáním předmětu dodávky v termínech dle čl. III této smlouvy a nesjedná nápravu ani po písemné výzvě doručené Prodávajícímu nejméně 10 dnů před odstoupením od smlouvy.</w:t>
      </w:r>
    </w:p>
    <w:p w14:paraId="0000005E" w14:textId="77777777" w:rsidR="00F749C0" w:rsidRDefault="00000000">
      <w:pPr>
        <w:numPr>
          <w:ilvl w:val="1"/>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Dále se mohou kdykoliv smluvní strany dohodnout na změně předmětu dodávky, změně ceny předmětu dodávky, změně termínu plnění nebo na případném ukončení smluvního vztahu založeném touto smlouvou o předmětu dodávky, a to písemnou dohodou, v níž též sjednají podmínky, za nichž bude změna předmětu dodávky či ukončení smluvního vztahu platné a právně účinné.</w:t>
      </w:r>
    </w:p>
    <w:p w14:paraId="00000061" w14:textId="77777777" w:rsidR="00F749C0"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Smluvní sankce</w:t>
      </w:r>
    </w:p>
    <w:p w14:paraId="00000062" w14:textId="77777777" w:rsidR="00F749C0" w:rsidRDefault="00000000">
      <w:pPr>
        <w:numPr>
          <w:ilvl w:val="1"/>
          <w:numId w:val="5"/>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Pokud bude Prodávající v prodlení s dodáním celého předmětu smlouvy nebo jeho části dle čl. II této smlouvy, je povinen zaplatit Kupujícímu smluvní pokutu ve výši 0,1 % z ceny nedodané části předmětu smlouvy bez DPH za každý i započatý den prodlení, nejvýše však do souhrnné výše 15 % z celkové ceny předmětu smlouvy bez DPH.</w:t>
      </w:r>
    </w:p>
    <w:p w14:paraId="00000063" w14:textId="77777777" w:rsidR="00F749C0" w:rsidRDefault="00000000">
      <w:pPr>
        <w:numPr>
          <w:ilvl w:val="1"/>
          <w:numId w:val="5"/>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Uplatněním smluvní pokuty není dotčeno právo Kupujícího na náhradu škody způsobené prodlením nebo právo na odstoupení od smlouvy v souladu s ostatními ustanoveními.</w:t>
      </w:r>
    </w:p>
    <w:p w14:paraId="00000064" w14:textId="77777777" w:rsidR="00F749C0" w:rsidRDefault="00000000">
      <w:pPr>
        <w:numPr>
          <w:ilvl w:val="1"/>
          <w:numId w:val="5"/>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Smluvní pokutu je Prodávající povinen zaplatit na základě výzvy Kupujícího do 15 dnů ode dne doručení této výzvy.</w:t>
      </w:r>
    </w:p>
    <w:p w14:paraId="00000065" w14:textId="77777777" w:rsidR="00F749C0" w:rsidRDefault="00000000">
      <w:pPr>
        <w:numPr>
          <w:ilvl w:val="1"/>
          <w:numId w:val="5"/>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Kupující je oprávněn jednostranně započíst smluvní pokutu proti jakékoliv pohledávce Prodávajícího vůči Kupujícímu vyplývající z této smlouvy.</w:t>
      </w:r>
    </w:p>
    <w:p w14:paraId="00000067" w14:textId="2FF490FD" w:rsidR="00F749C0" w:rsidRPr="00CE1027" w:rsidRDefault="00000000" w:rsidP="00CE1027">
      <w:pPr>
        <w:pStyle w:val="Odstavecseseznamem"/>
        <w:numPr>
          <w:ilvl w:val="0"/>
          <w:numId w:val="13"/>
        </w:numPr>
        <w:pBdr>
          <w:top w:val="nil"/>
          <w:left w:val="nil"/>
          <w:bottom w:val="nil"/>
          <w:right w:val="nil"/>
          <w:between w:val="nil"/>
        </w:pBdr>
        <w:spacing w:before="240" w:after="120"/>
        <w:jc w:val="center"/>
        <w:rPr>
          <w:rFonts w:ascii="Calibri" w:eastAsia="Calibri" w:hAnsi="Calibri" w:cs="Calibri"/>
          <w:b/>
          <w:bCs/>
          <w:color w:val="000000"/>
          <w:sz w:val="22"/>
          <w:szCs w:val="22"/>
          <w:u w:val="single"/>
        </w:rPr>
      </w:pPr>
      <w:r w:rsidRPr="00CE1027">
        <w:rPr>
          <w:rFonts w:ascii="Calibri" w:eastAsia="Calibri" w:hAnsi="Calibri" w:cs="Calibri"/>
          <w:b/>
          <w:bCs/>
          <w:color w:val="000000"/>
          <w:sz w:val="22"/>
          <w:szCs w:val="22"/>
          <w:u w:val="single"/>
        </w:rPr>
        <w:t>Závěrečná ustanovení</w:t>
      </w:r>
    </w:p>
    <w:p w14:paraId="00000068"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Pokud v této smlouvě není stanoveno jinak, řídí se právní vztahy z ní vyplývající příslušnými ustanoveními občanského zákoníku a právních předpisů souvisejících v platném znění. </w:t>
      </w:r>
    </w:p>
    <w:p w14:paraId="00000069"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Prodávající odpovídá Kupujícímu v souladu s § 2099 a násl. občanského zákoníku, že předmět dodávky nemá vady. Prodávající odpovídá za vady, jež má předmět dodávky v době jeho předání, a dále za vady zjištěné v záruční době. Záruční lhůta činí 60 měsíců; začíná běžet dnem oboustranného podpisu protokolu o předání a převzetí předmětu dodávky, pokud Kupující </w:t>
      </w:r>
      <w:r>
        <w:rPr>
          <w:rFonts w:ascii="Calibri" w:eastAsia="Calibri" w:hAnsi="Calibri" w:cs="Calibri"/>
          <w:color w:val="000000"/>
          <w:sz w:val="22"/>
          <w:szCs w:val="22"/>
        </w:rPr>
        <w:lastRenderedPageBreak/>
        <w:t xml:space="preserve">neodmítl předmět převzít. Záruční lhůta neběží po dobu, kdy Kupující nemohl předmět užívat pro vady, za něž odpovídá Prodávající. Pro části předmětu, které byly v důsledku oprávněné reklamace opraveny, běží záruční lhůta znovu od provedení opravy. </w:t>
      </w:r>
    </w:p>
    <w:p w14:paraId="0000006A"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Smlouva vč. příloh se vyhotovuje ve dvou stejnopisech, po jednom pro každou ze smluvních stran. </w:t>
      </w:r>
    </w:p>
    <w:p w14:paraId="0000006B"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Změn</w:t>
      </w:r>
      <w:r>
        <w:rPr>
          <w:rFonts w:ascii="Calibri" w:eastAsia="Calibri" w:hAnsi="Calibri" w:cs="Calibri"/>
          <w:sz w:val="22"/>
          <w:szCs w:val="22"/>
        </w:rPr>
        <w:t>u</w:t>
      </w:r>
      <w:r>
        <w:rPr>
          <w:rFonts w:ascii="Calibri" w:eastAsia="Calibri" w:hAnsi="Calibri" w:cs="Calibri"/>
          <w:color w:val="000000"/>
          <w:sz w:val="22"/>
          <w:szCs w:val="22"/>
        </w:rPr>
        <w:t xml:space="preserve"> či doplňky této smlouvy lze provést pouze formou písemných číslovaných dodatků.</w:t>
      </w:r>
    </w:p>
    <w:p w14:paraId="0000006C"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že je nebo se stane některé z ustanovení této smlouvy neplatné, neúčinné nebo nevykonatelné, nebude tím dotčena platnost, účinnost a vykonatelnost ostatních smluvních ujednání od něj oddělitelných. Smluvní strany jsou povinny poskytnout si vzájemnou součinnost pro to, aby neplatné, neúčinné nebo nevykonatelné ustanovení bylo nahrazeno ustanovením platným, účinným a vykonatelným, které v nejvyšší možné míře zachovává význam ustanovení původního. To samé platí i pro případ smluvní mezery.</w:t>
      </w:r>
      <w:r>
        <w:rPr>
          <w:rFonts w:ascii="Calibri" w:eastAsia="Calibri" w:hAnsi="Calibri" w:cs="Calibri"/>
          <w:color w:val="000000"/>
          <w:sz w:val="22"/>
          <w:szCs w:val="22"/>
        </w:rPr>
        <w:tab/>
      </w:r>
    </w:p>
    <w:p w14:paraId="0000006D"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bookmarkStart w:id="1" w:name="_heading=h.tyjcwt" w:colFirst="0" w:colLast="0"/>
      <w:bookmarkEnd w:id="1"/>
      <w:r>
        <w:rPr>
          <w:rFonts w:ascii="Calibri" w:eastAsia="Calibri" w:hAnsi="Calibri" w:cs="Calibri"/>
          <w:color w:val="000000"/>
          <w:sz w:val="22"/>
          <w:szCs w:val="22"/>
        </w:rPr>
        <w:t xml:space="preserve">Všechny spory budou mezi stranami řešeny přednostně smírnou cestou a dohodou. </w:t>
      </w:r>
    </w:p>
    <w:p w14:paraId="0000006E"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Smluvní strany se zavazují zpracovávat osobní údaje fyzických osob, které jim budou sděleny druhou smluvní stranou v souvislosti s předmětem plnění dle této smlouvy, v souladu s nařízením Evropského parlamentu a Rady (EU) 2016/679 o ochraně fyzických osob v souvislosti se zpracováním osobních údajů a o volném pohybu těchto údajů a o zrušení směrnice 95/46/ES (dále jen GDPR) a souvisejícími právními předpisy</w:t>
      </w:r>
    </w:p>
    <w:p w14:paraId="0000006F"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Smlouva nabývá platnosti okamžikem jejího podpisu oběma smluvními stranami. Smlouva nabývá účinnosti dnem uveřejnění v registru smluv dle zákona č. 340/2015 Sb., o zvláštních podmínkách účinnosti některých smluv, uveřejňování těchto smluv a o registru smluv (zákon o registru smluv), ve znění pozdějších právních předpisů. Smlouvu v registru smluv zveřejní Kupující bez zbytečného odkladu.</w:t>
      </w:r>
    </w:p>
    <w:p w14:paraId="00000070"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Smluvní strany této smlouvy prohlašují, že si smlouvu přečetly, jejímu obsahu porozuměly a na důkaz své pravé, svobodné a vážné vůle připojují níže své podpisy.</w:t>
      </w:r>
    </w:p>
    <w:p w14:paraId="00000071"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Prodávající svým podpisem výslovně stvrzuje, že se seznámil se všemi uvedenými přílohami této smlouvy, tyto převzal a rozumí jejich obsahu.</w:t>
      </w:r>
    </w:p>
    <w:p w14:paraId="00000072" w14:textId="77777777" w:rsidR="00F749C0" w:rsidRDefault="00000000" w:rsidP="00CE1027">
      <w:pPr>
        <w:numPr>
          <w:ilvl w:val="1"/>
          <w:numId w:val="17"/>
        </w:numPr>
        <w:pBdr>
          <w:top w:val="nil"/>
          <w:left w:val="nil"/>
          <w:bottom w:val="nil"/>
          <w:right w:val="nil"/>
          <w:between w:val="nil"/>
        </w:pBdr>
        <w:jc w:val="both"/>
        <w:rPr>
          <w:rFonts w:ascii="Calibri" w:eastAsia="Calibri" w:hAnsi="Calibri" w:cs="Calibri"/>
          <w:color w:val="000000"/>
          <w:sz w:val="22"/>
          <w:szCs w:val="22"/>
        </w:rPr>
      </w:pPr>
      <w:bookmarkStart w:id="2" w:name="_heading=h.3dy6vkm" w:colFirst="0" w:colLast="0"/>
      <w:bookmarkEnd w:id="2"/>
      <w:r>
        <w:rPr>
          <w:rFonts w:ascii="Calibri" w:eastAsia="Calibri" w:hAnsi="Calibri" w:cs="Calibri"/>
          <w:color w:val="000000"/>
          <w:sz w:val="22"/>
          <w:szCs w:val="22"/>
        </w:rPr>
        <w:t>V případě rozporu mezi touto smlouvou a jednotlivými přílohami má přednost tato smlouva.</w:t>
      </w:r>
    </w:p>
    <w:p w14:paraId="00000073"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4"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5" w14:textId="77777777" w:rsidR="00F749C0" w:rsidRDefault="00000000">
      <w:pPr>
        <w:pBdr>
          <w:top w:val="nil"/>
          <w:left w:val="nil"/>
          <w:bottom w:val="nil"/>
          <w:right w:val="nil"/>
          <w:between w:val="nil"/>
        </w:pBdr>
        <w:spacing w:before="10" w:after="10"/>
        <w:jc w:val="both"/>
        <w:rPr>
          <w:rFonts w:ascii="Calibri" w:eastAsia="Calibri" w:hAnsi="Calibri" w:cs="Calibri"/>
          <w:b/>
          <w:bCs/>
          <w:sz w:val="22"/>
          <w:szCs w:val="22"/>
        </w:rPr>
      </w:pPr>
      <w:r>
        <w:rPr>
          <w:rFonts w:ascii="Calibri" w:eastAsia="Calibri" w:hAnsi="Calibri" w:cs="Calibri"/>
          <w:b/>
          <w:bCs/>
          <w:sz w:val="22"/>
          <w:szCs w:val="22"/>
        </w:rPr>
        <w:t>Přílohy smlouvy:</w:t>
      </w:r>
    </w:p>
    <w:p w14:paraId="00000076" w14:textId="77777777" w:rsidR="00F749C0" w:rsidRDefault="00000000">
      <w:pPr>
        <w:widowControl/>
        <w:numPr>
          <w:ilvl w:val="0"/>
          <w:numId w:val="9"/>
        </w:numPr>
        <w:rPr>
          <w:rFonts w:ascii="Calibri" w:eastAsia="Calibri" w:hAnsi="Calibri" w:cs="Calibri"/>
          <w:sz w:val="22"/>
          <w:szCs w:val="22"/>
        </w:rPr>
      </w:pPr>
      <w:r>
        <w:rPr>
          <w:rFonts w:ascii="Calibri" w:eastAsia="Calibri" w:hAnsi="Calibri" w:cs="Calibri"/>
          <w:sz w:val="22"/>
          <w:szCs w:val="22"/>
        </w:rPr>
        <w:t>Nabídkový položkový rozpočet, zahrnující veškeré souvisejících náklady</w:t>
      </w:r>
    </w:p>
    <w:p w14:paraId="00000077" w14:textId="77777777" w:rsidR="00F749C0" w:rsidRDefault="00000000">
      <w:pPr>
        <w:keepLines/>
        <w:widowControl/>
        <w:numPr>
          <w:ilvl w:val="0"/>
          <w:numId w:val="9"/>
        </w:numPr>
        <w:rPr>
          <w:rFonts w:ascii="Calibri" w:eastAsia="Calibri" w:hAnsi="Calibri" w:cs="Calibri"/>
          <w:sz w:val="22"/>
          <w:szCs w:val="22"/>
        </w:rPr>
      </w:pPr>
      <w:r>
        <w:rPr>
          <w:rFonts w:ascii="Calibri" w:eastAsia="Calibri" w:hAnsi="Calibri" w:cs="Calibri"/>
          <w:sz w:val="22"/>
          <w:szCs w:val="22"/>
        </w:rPr>
        <w:t>Technická specifikace zakázky (příloha č. 3 Výzvy)</w:t>
      </w:r>
    </w:p>
    <w:p w14:paraId="00000078"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9"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A" w14:textId="77777777" w:rsidR="00F749C0" w:rsidRDefault="00000000">
      <w:pPr>
        <w:pBdr>
          <w:top w:val="nil"/>
          <w:left w:val="nil"/>
          <w:bottom w:val="nil"/>
          <w:right w:val="nil"/>
          <w:between w:val="nil"/>
        </w:pBdr>
        <w:spacing w:before="10" w:after="10"/>
        <w:jc w:val="both"/>
        <w:rPr>
          <w:rFonts w:ascii="Calibri" w:eastAsia="Calibri" w:hAnsi="Calibri" w:cs="Calibri"/>
          <w:sz w:val="22"/>
          <w:szCs w:val="22"/>
          <w:highlight w:val="yellow"/>
        </w:rPr>
      </w:pPr>
      <w:r>
        <w:rPr>
          <w:rFonts w:ascii="Calibri" w:eastAsia="Calibri" w:hAnsi="Calibri" w:cs="Calibri"/>
          <w:sz w:val="22"/>
          <w:szCs w:val="22"/>
        </w:rPr>
        <w:t xml:space="preserve">V Brně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V</w:t>
      </w:r>
      <w:r>
        <w:rPr>
          <w:rFonts w:ascii="Calibri" w:eastAsia="Calibri" w:hAnsi="Calibri" w:cs="Calibri"/>
          <w:sz w:val="22"/>
          <w:szCs w:val="22"/>
          <w:highlight w:val="yellow"/>
        </w:rPr>
        <w:t>…………</w:t>
      </w:r>
      <w:proofErr w:type="gramStart"/>
      <w:r>
        <w:rPr>
          <w:rFonts w:ascii="Calibri" w:eastAsia="Calibri" w:hAnsi="Calibri" w:cs="Calibri"/>
          <w:sz w:val="22"/>
          <w:szCs w:val="22"/>
          <w:highlight w:val="yellow"/>
        </w:rPr>
        <w:t>…….</w:t>
      </w:r>
      <w:proofErr w:type="gramEnd"/>
      <w:r>
        <w:rPr>
          <w:rFonts w:ascii="Calibri" w:eastAsia="Calibri" w:hAnsi="Calibri" w:cs="Calibri"/>
          <w:sz w:val="22"/>
          <w:szCs w:val="22"/>
          <w:highlight w:val="yellow"/>
        </w:rPr>
        <w:t xml:space="preserve">.  </w:t>
      </w:r>
      <w:r>
        <w:rPr>
          <w:rFonts w:ascii="Calibri" w:eastAsia="Calibri" w:hAnsi="Calibri" w:cs="Calibri"/>
          <w:sz w:val="22"/>
          <w:szCs w:val="22"/>
        </w:rPr>
        <w:t>dne</w:t>
      </w:r>
      <w:r>
        <w:rPr>
          <w:rFonts w:ascii="Calibri" w:eastAsia="Calibri" w:hAnsi="Calibri" w:cs="Calibri"/>
          <w:sz w:val="22"/>
          <w:szCs w:val="22"/>
          <w:highlight w:val="yellow"/>
        </w:rPr>
        <w:t>………………</w:t>
      </w:r>
    </w:p>
    <w:p w14:paraId="0000007B"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C"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D" w14:textId="77777777" w:rsidR="00F749C0" w:rsidRDefault="00F749C0">
      <w:pPr>
        <w:pBdr>
          <w:top w:val="nil"/>
          <w:left w:val="nil"/>
          <w:bottom w:val="nil"/>
          <w:right w:val="nil"/>
          <w:between w:val="nil"/>
        </w:pBdr>
        <w:spacing w:before="10" w:after="10"/>
        <w:jc w:val="both"/>
        <w:rPr>
          <w:rFonts w:ascii="Calibri" w:eastAsia="Calibri" w:hAnsi="Calibri" w:cs="Calibri"/>
          <w:sz w:val="22"/>
          <w:szCs w:val="22"/>
        </w:rPr>
      </w:pPr>
    </w:p>
    <w:p w14:paraId="0000007E" w14:textId="77777777" w:rsidR="00F749C0" w:rsidRDefault="00000000">
      <w:pPr>
        <w:pBdr>
          <w:top w:val="nil"/>
          <w:left w:val="nil"/>
          <w:bottom w:val="nil"/>
          <w:right w:val="nil"/>
          <w:between w:val="nil"/>
        </w:pBdr>
        <w:spacing w:before="10" w:after="10"/>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w:t>
      </w:r>
    </w:p>
    <w:p w14:paraId="0000007F" w14:textId="77777777" w:rsidR="00F749C0" w:rsidRDefault="00000000">
      <w:pPr>
        <w:pBdr>
          <w:top w:val="nil"/>
          <w:left w:val="nil"/>
          <w:bottom w:val="nil"/>
          <w:right w:val="nil"/>
          <w:between w:val="nil"/>
        </w:pBdr>
        <w:spacing w:before="10" w:after="10"/>
        <w:jc w:val="both"/>
        <w:rPr>
          <w:rFonts w:ascii="Calibri" w:eastAsia="Calibri" w:hAnsi="Calibri" w:cs="Calibri"/>
          <w:color w:val="000000"/>
          <w:sz w:val="22"/>
          <w:szCs w:val="22"/>
        </w:rPr>
      </w:pPr>
      <w:r>
        <w:rPr>
          <w:rFonts w:ascii="Calibri" w:eastAsia="Calibri" w:hAnsi="Calibri" w:cs="Calibri"/>
          <w:sz w:val="22"/>
          <w:szCs w:val="22"/>
        </w:rPr>
        <w:t>Kupující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Prodávající</w:t>
      </w:r>
    </w:p>
    <w:sectPr w:rsidR="00F749C0">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418" w:left="1418" w:header="851" w:footer="42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F5722" w14:textId="77777777" w:rsidR="00E01290" w:rsidRDefault="00E01290">
      <w:r>
        <w:separator/>
      </w:r>
    </w:p>
  </w:endnote>
  <w:endnote w:type="continuationSeparator" w:id="0">
    <w:p w14:paraId="5C6CE829" w14:textId="77777777" w:rsidR="00E01290" w:rsidRDefault="00E0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6D7C172-049C-43C7-896B-67C016E6EA96}"/>
    <w:embedBold r:id="rId2" w:fontKey="{F3DA4E8B-5041-454F-B168-7582059E09E2}"/>
  </w:font>
  <w:font w:name="Calibri">
    <w:panose1 w:val="020F0502020204030204"/>
    <w:charset w:val="EE"/>
    <w:family w:val="swiss"/>
    <w:pitch w:val="variable"/>
    <w:sig w:usb0="E4002EFF" w:usb1="C200247B" w:usb2="00000009" w:usb3="00000000" w:csb0="000001FF" w:csb1="00000000"/>
    <w:embedRegular r:id="rId3" w:fontKey="{77D57735-B4D2-48E2-89F9-ED1A709EC7D2}"/>
    <w:embedBold r:id="rId4" w:fontKey="{420A6E54-E86E-4F3E-BF80-F46CF5C0460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D51D124D-A109-4A16-90DF-8A0100AA0787}"/>
    <w:embedBold r:id="rId6" w:fontKey="{D366969D-9F22-4139-A8B2-923EF6C5CAFD}"/>
  </w:font>
  <w:font w:name="Georgia">
    <w:panose1 w:val="02040502050405020303"/>
    <w:charset w:val="EE"/>
    <w:family w:val="roman"/>
    <w:pitch w:val="variable"/>
    <w:sig w:usb0="00000287" w:usb1="00000000" w:usb2="00000000" w:usb3="00000000" w:csb0="0000009F" w:csb1="00000000"/>
    <w:embedItalic r:id="rId7" w:fontKey="{5441A660-BCE4-4D2D-A9F1-273D56DAC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3" w14:textId="77777777" w:rsidR="00F749C0" w:rsidRDefault="00F749C0">
    <w:pPr>
      <w:pBdr>
        <w:top w:val="nil"/>
        <w:left w:val="nil"/>
        <w:bottom w:val="nil"/>
        <w:right w:val="nil"/>
        <w:between w:val="nil"/>
      </w:pBdr>
      <w:tabs>
        <w:tab w:val="center" w:pos="4536"/>
        <w:tab w:val="right" w:pos="9069"/>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430F3D41" w:rsidR="00F749C0" w:rsidRDefault="00000000">
    <w:pPr>
      <w:pBdr>
        <w:top w:val="nil"/>
        <w:left w:val="nil"/>
        <w:bottom w:val="nil"/>
        <w:right w:val="nil"/>
        <w:between w:val="nil"/>
      </w:pBdr>
      <w:tabs>
        <w:tab w:val="center" w:pos="4536"/>
        <w:tab w:val="right" w:pos="9069"/>
      </w:tabs>
      <w:jc w:val="center"/>
      <w:rPr>
        <w:color w:val="000000"/>
      </w:rPr>
    </w:pPr>
    <w:r>
      <w:rPr>
        <w:color w:val="000000"/>
      </w:rPr>
      <w:fldChar w:fldCharType="begin"/>
    </w:r>
    <w:r>
      <w:rPr>
        <w:color w:val="000000"/>
      </w:rPr>
      <w:instrText>PAGE</w:instrText>
    </w:r>
    <w:r>
      <w:rPr>
        <w:color w:val="000000"/>
      </w:rPr>
      <w:fldChar w:fldCharType="separate"/>
    </w:r>
    <w:r w:rsidR="00BE1AFB">
      <w:rPr>
        <w:noProof/>
        <w:color w:val="000000"/>
      </w:rPr>
      <w:t>1</w:t>
    </w:r>
    <w:r>
      <w:rPr>
        <w:color w:val="000000"/>
      </w:rPr>
      <w:fldChar w:fldCharType="end"/>
    </w:r>
  </w:p>
  <w:p w14:paraId="00000085" w14:textId="77777777" w:rsidR="00F749C0" w:rsidRDefault="00F749C0">
    <w:pPr>
      <w:pBdr>
        <w:top w:val="nil"/>
        <w:left w:val="nil"/>
        <w:bottom w:val="nil"/>
        <w:right w:val="nil"/>
        <w:between w:val="nil"/>
      </w:pBdr>
      <w:tabs>
        <w:tab w:val="center" w:pos="4536"/>
        <w:tab w:val="right" w:pos="9069"/>
      </w:tabs>
      <w:jc w:val="center"/>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6" w14:textId="77777777" w:rsidR="00F749C0" w:rsidRDefault="00F749C0">
    <w:pPr>
      <w:pBdr>
        <w:top w:val="nil"/>
        <w:left w:val="nil"/>
        <w:bottom w:val="nil"/>
        <w:right w:val="nil"/>
        <w:between w:val="nil"/>
      </w:pBdr>
      <w:tabs>
        <w:tab w:val="center" w:pos="4536"/>
        <w:tab w:val="right" w:pos="906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261A" w14:textId="77777777" w:rsidR="00E01290" w:rsidRDefault="00E01290">
      <w:r>
        <w:separator/>
      </w:r>
    </w:p>
  </w:footnote>
  <w:footnote w:type="continuationSeparator" w:id="0">
    <w:p w14:paraId="143CC777" w14:textId="77777777" w:rsidR="00E01290" w:rsidRDefault="00E01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F749C0" w:rsidRDefault="00F749C0">
    <w:pPr>
      <w:pBdr>
        <w:top w:val="nil"/>
        <w:left w:val="nil"/>
        <w:bottom w:val="nil"/>
        <w:right w:val="nil"/>
        <w:between w:val="nil"/>
      </w:pBdr>
      <w:tabs>
        <w:tab w:val="center" w:pos="4536"/>
        <w:tab w:val="right" w:pos="9069"/>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1" w14:textId="77777777" w:rsidR="00F749C0" w:rsidRDefault="00F749C0">
    <w:pPr>
      <w:pBdr>
        <w:top w:val="nil"/>
        <w:left w:val="nil"/>
        <w:bottom w:val="nil"/>
        <w:right w:val="nil"/>
        <w:between w:val="nil"/>
      </w:pBdr>
      <w:tabs>
        <w:tab w:val="center" w:pos="4536"/>
        <w:tab w:val="right" w:pos="9069"/>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F749C0" w:rsidRDefault="00F749C0">
    <w:pPr>
      <w:pBdr>
        <w:top w:val="nil"/>
        <w:left w:val="nil"/>
        <w:bottom w:val="nil"/>
        <w:right w:val="nil"/>
        <w:between w:val="nil"/>
      </w:pBdr>
      <w:tabs>
        <w:tab w:val="center" w:pos="4536"/>
        <w:tab w:val="right" w:pos="906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7D0"/>
    <w:multiLevelType w:val="multilevel"/>
    <w:tmpl w:val="5BBA79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A65CE8"/>
    <w:multiLevelType w:val="multilevel"/>
    <w:tmpl w:val="DC10E7F2"/>
    <w:lvl w:ilvl="0">
      <w:start w:val="1"/>
      <w:numFmt w:val="upperRoman"/>
      <w:lvlText w:val="%1."/>
      <w:lvlJc w:val="left"/>
      <w:pPr>
        <w:ind w:left="360" w:hanging="360"/>
      </w:pPr>
      <w:rPr>
        <w:u w:val="single"/>
      </w:rPr>
    </w:lvl>
    <w:lvl w:ilvl="1">
      <w:start w:val="1"/>
      <w:numFmt w:val="decimal"/>
      <w:lvlText w:val="%2."/>
      <w:lvlJc w:val="left"/>
      <w:pPr>
        <w:ind w:left="36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3256C6"/>
    <w:multiLevelType w:val="multilevel"/>
    <w:tmpl w:val="7F8475F6"/>
    <w:lvl w:ilvl="0">
      <w:start w:val="1"/>
      <w:numFmt w:val="upperRoman"/>
      <w:pStyle w:val="B-Zkladn"/>
      <w:lvlText w:val="%1."/>
      <w:lvlJc w:val="left"/>
      <w:pPr>
        <w:ind w:left="360" w:hanging="360"/>
      </w:pPr>
      <w:rPr>
        <w:u w:val="single"/>
      </w:rPr>
    </w:lvl>
    <w:lvl w:ilvl="1">
      <w:start w:val="1"/>
      <w:numFmt w:val="decimal"/>
      <w:lvlText w:val="%2."/>
      <w:lvlJc w:val="left"/>
      <w:pPr>
        <w:ind w:left="36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E346025"/>
    <w:multiLevelType w:val="multilevel"/>
    <w:tmpl w:val="6BD41DBE"/>
    <w:lvl w:ilvl="0">
      <w:start w:val="1"/>
      <w:numFmt w:val="upperRoman"/>
      <w:lvlText w:val="%1."/>
      <w:lvlJc w:val="left"/>
      <w:pPr>
        <w:ind w:left="360" w:hanging="360"/>
      </w:pPr>
      <w:rPr>
        <w:u w:val="single"/>
      </w:rPr>
    </w:lvl>
    <w:lvl w:ilvl="1">
      <w:start w:val="1"/>
      <w:numFmt w:val="decimal"/>
      <w:lvlText w:val="%2."/>
      <w:lvlJc w:val="left"/>
      <w:pPr>
        <w:ind w:left="720" w:hanging="720"/>
      </w:pPr>
      <w:rPr>
        <w:b w:val="0"/>
        <w:bCs w:val="0"/>
        <w:u w:val="none"/>
      </w:r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F217E59"/>
    <w:multiLevelType w:val="multilevel"/>
    <w:tmpl w:val="BAC468CA"/>
    <w:lvl w:ilvl="0">
      <w:start w:val="1"/>
      <w:numFmt w:val="upperRoman"/>
      <w:lvlText w:val="%1."/>
      <w:lvlJc w:val="left"/>
      <w:pPr>
        <w:ind w:left="360" w:hanging="360"/>
      </w:pPr>
      <w:rPr>
        <w:u w:val="single"/>
      </w:rPr>
    </w:lvl>
    <w:lvl w:ilvl="1">
      <w:start w:val="2"/>
      <w:numFmt w:val="decimal"/>
      <w:lvlText w:val="%2."/>
      <w:lvlJc w:val="left"/>
      <w:pPr>
        <w:ind w:left="36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E87ABC"/>
    <w:multiLevelType w:val="multilevel"/>
    <w:tmpl w:val="FB5CB2D8"/>
    <w:lvl w:ilvl="0">
      <w:start w:val="1"/>
      <w:numFmt w:val="upperRoman"/>
      <w:lvlText w:val="%1."/>
      <w:lvlJc w:val="left"/>
      <w:pPr>
        <w:ind w:left="360" w:hanging="360"/>
      </w:pPr>
      <w:rPr>
        <w:rFonts w:hint="default"/>
        <w:u w:val="single"/>
      </w:rPr>
    </w:lvl>
    <w:lvl w:ilvl="1">
      <w:start w:val="1"/>
      <w:numFmt w:val="decimal"/>
      <w:lvlText w:val="%2."/>
      <w:lvlJc w:val="left"/>
      <w:pPr>
        <w:ind w:left="720" w:hanging="720"/>
      </w:pPr>
      <w:rPr>
        <w:rFonts w:hint="default"/>
        <w:b w:val="0"/>
        <w:bCs w:val="0"/>
        <w:u w:val="none"/>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964846"/>
    <w:multiLevelType w:val="multilevel"/>
    <w:tmpl w:val="E266FC62"/>
    <w:lvl w:ilvl="0">
      <w:start w:val="1"/>
      <w:numFmt w:val="upperRoman"/>
      <w:lvlText w:val="%1."/>
      <w:lvlJc w:val="left"/>
      <w:pPr>
        <w:ind w:left="360" w:hanging="360"/>
      </w:pPr>
      <w:rPr>
        <w:u w:val="single"/>
      </w:rPr>
    </w:lvl>
    <w:lvl w:ilvl="1">
      <w:start w:val="1"/>
      <w:numFmt w:val="decimal"/>
      <w:lvlText w:val="%2."/>
      <w:lvlJc w:val="left"/>
      <w:pPr>
        <w:ind w:left="36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76A6D84"/>
    <w:multiLevelType w:val="multilevel"/>
    <w:tmpl w:val="7B364A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D8661EC"/>
    <w:multiLevelType w:val="multilevel"/>
    <w:tmpl w:val="ADAC4514"/>
    <w:lvl w:ilvl="0">
      <w:start w:val="1"/>
      <w:numFmt w:val="upperRoman"/>
      <w:lvlText w:val="%1."/>
      <w:lvlJc w:val="left"/>
      <w:pPr>
        <w:ind w:left="360" w:hanging="360"/>
      </w:pPr>
      <w:rPr>
        <w:u w:val="single"/>
      </w:rPr>
    </w:lvl>
    <w:lvl w:ilvl="1">
      <w:start w:val="1"/>
      <w:numFmt w:val="decimal"/>
      <w:lvlText w:val="%2."/>
      <w:lvlJc w:val="left"/>
      <w:pPr>
        <w:ind w:left="36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E637754"/>
    <w:multiLevelType w:val="hybridMultilevel"/>
    <w:tmpl w:val="676E3D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46B433A"/>
    <w:multiLevelType w:val="multilevel"/>
    <w:tmpl w:val="4DD207FC"/>
    <w:lvl w:ilvl="0">
      <w:start w:val="1"/>
      <w:numFmt w:val="upperRoman"/>
      <w:lvlText w:val="%1."/>
      <w:lvlJc w:val="left"/>
      <w:pPr>
        <w:ind w:left="360" w:hanging="360"/>
      </w:pPr>
      <w:rPr>
        <w:rFonts w:hint="default"/>
        <w:u w:val="single"/>
      </w:rPr>
    </w:lvl>
    <w:lvl w:ilvl="1">
      <w:start w:val="1"/>
      <w:numFmt w:val="decimal"/>
      <w:lvlText w:val="%2."/>
      <w:lvlJc w:val="left"/>
      <w:pPr>
        <w:ind w:left="720" w:hanging="720"/>
      </w:pPr>
      <w:rPr>
        <w:rFonts w:hint="default"/>
        <w:b w:val="0"/>
        <w:bCs w:val="0"/>
        <w:u w:val="none"/>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5513FE9"/>
    <w:multiLevelType w:val="hybridMultilevel"/>
    <w:tmpl w:val="52AE36C0"/>
    <w:lvl w:ilvl="0" w:tplc="0405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0D2ABB"/>
    <w:multiLevelType w:val="multilevel"/>
    <w:tmpl w:val="ECD8ADB2"/>
    <w:lvl w:ilvl="0">
      <w:start w:val="8"/>
      <w:numFmt w:val="upperRoman"/>
      <w:lvlText w:val="%1."/>
      <w:lvlJc w:val="left"/>
      <w:pPr>
        <w:ind w:left="1080" w:hanging="72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822876"/>
    <w:multiLevelType w:val="multilevel"/>
    <w:tmpl w:val="C2DE59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94653D"/>
    <w:multiLevelType w:val="multilevel"/>
    <w:tmpl w:val="E730AB22"/>
    <w:lvl w:ilvl="0">
      <w:start w:val="1"/>
      <w:numFmt w:val="upperRoman"/>
      <w:lvlText w:val="%1."/>
      <w:lvlJc w:val="left"/>
      <w:pPr>
        <w:ind w:left="360" w:hanging="360"/>
      </w:pPr>
      <w:rPr>
        <w:rFonts w:hint="default"/>
        <w:u w:val="single"/>
      </w:rPr>
    </w:lvl>
    <w:lvl w:ilvl="1">
      <w:start w:val="1"/>
      <w:numFmt w:val="decimal"/>
      <w:lvlText w:val="%2."/>
      <w:lvlJc w:val="left"/>
      <w:pPr>
        <w:ind w:left="720" w:hanging="720"/>
      </w:pPr>
      <w:rPr>
        <w:rFonts w:hint="default"/>
        <w:b w:val="0"/>
        <w:bCs w:val="0"/>
        <w:u w:val="none"/>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7243A0"/>
    <w:multiLevelType w:val="multilevel"/>
    <w:tmpl w:val="3CDC5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1B5F6F"/>
    <w:multiLevelType w:val="multilevel"/>
    <w:tmpl w:val="05FE41FC"/>
    <w:lvl w:ilvl="0">
      <w:start w:val="1"/>
      <w:numFmt w:val="upperRoman"/>
      <w:lvlText w:val="%1."/>
      <w:lvlJc w:val="left"/>
      <w:pPr>
        <w:ind w:left="360" w:hanging="360"/>
      </w:pPr>
      <w:rPr>
        <w:rFonts w:hint="default"/>
        <w:u w:val="single"/>
      </w:rPr>
    </w:lvl>
    <w:lvl w:ilvl="1">
      <w:start w:val="1"/>
      <w:numFmt w:val="decimal"/>
      <w:lvlText w:val="%2."/>
      <w:lvlJc w:val="left"/>
      <w:pPr>
        <w:ind w:left="720" w:hanging="720"/>
      </w:pPr>
      <w:rPr>
        <w:rFonts w:hint="default"/>
        <w:b w:val="0"/>
        <w:bCs w:val="0"/>
        <w:u w:val="none"/>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8672259">
    <w:abstractNumId w:val="12"/>
  </w:num>
  <w:num w:numId="2" w16cid:durableId="1029260129">
    <w:abstractNumId w:val="3"/>
  </w:num>
  <w:num w:numId="3" w16cid:durableId="995887819">
    <w:abstractNumId w:val="1"/>
  </w:num>
  <w:num w:numId="4" w16cid:durableId="1670401024">
    <w:abstractNumId w:val="2"/>
  </w:num>
  <w:num w:numId="5" w16cid:durableId="1753116337">
    <w:abstractNumId w:val="8"/>
  </w:num>
  <w:num w:numId="6" w16cid:durableId="2052613313">
    <w:abstractNumId w:val="6"/>
  </w:num>
  <w:num w:numId="7" w16cid:durableId="330908503">
    <w:abstractNumId w:val="7"/>
  </w:num>
  <w:num w:numId="8" w16cid:durableId="1688558581">
    <w:abstractNumId w:val="13"/>
  </w:num>
  <w:num w:numId="9" w16cid:durableId="1148477652">
    <w:abstractNumId w:val="15"/>
  </w:num>
  <w:num w:numId="10" w16cid:durableId="2070112119">
    <w:abstractNumId w:val="4"/>
  </w:num>
  <w:num w:numId="11" w16cid:durableId="1838419913">
    <w:abstractNumId w:val="0"/>
  </w:num>
  <w:num w:numId="12" w16cid:durableId="1197162348">
    <w:abstractNumId w:val="9"/>
  </w:num>
  <w:num w:numId="13" w16cid:durableId="30611548">
    <w:abstractNumId w:val="11"/>
  </w:num>
  <w:num w:numId="14" w16cid:durableId="1803840331">
    <w:abstractNumId w:val="14"/>
  </w:num>
  <w:num w:numId="15" w16cid:durableId="1591541968">
    <w:abstractNumId w:val="10"/>
  </w:num>
  <w:num w:numId="16" w16cid:durableId="1081219397">
    <w:abstractNumId w:val="5"/>
  </w:num>
  <w:num w:numId="17" w16cid:durableId="18776914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9C0"/>
    <w:rsid w:val="00774CA4"/>
    <w:rsid w:val="00BE1AFB"/>
    <w:rsid w:val="00CE1027"/>
    <w:rsid w:val="00E01290"/>
    <w:rsid w:val="00F749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B9AFD"/>
  <w15:docId w15:val="{146B8ED6-E4E8-4D14-9EB2-6E312DF9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after="120"/>
      <w:ind w:left="360" w:hanging="360"/>
      <w:jc w:val="center"/>
      <w:outlineLvl w:val="0"/>
    </w:pPr>
    <w:rPr>
      <w:rFonts w:ascii="Tahoma" w:eastAsia="Tahoma" w:hAnsi="Tahoma" w:cs="Tahoma"/>
      <w:b/>
      <w:bCs/>
      <w:u w:val="single"/>
    </w:rPr>
  </w:style>
  <w:style w:type="paragraph" w:styleId="Nadpis2">
    <w:name w:val="heading 2"/>
    <w:basedOn w:val="Normln"/>
    <w:next w:val="Normln"/>
    <w:uiPriority w:val="9"/>
    <w:semiHidden/>
    <w:unhideWhenUsed/>
    <w:qFormat/>
    <w:pPr>
      <w:ind w:left="720" w:hanging="720"/>
      <w:jc w:val="both"/>
      <w:outlineLvl w:val="1"/>
    </w:pPr>
    <w:rPr>
      <w:rFonts w:ascii="Tahoma" w:eastAsia="Tahoma" w:hAnsi="Tahoma" w:cs="Tahoma"/>
    </w:rPr>
  </w:style>
  <w:style w:type="paragraph" w:styleId="Nadpis3">
    <w:name w:val="heading 3"/>
    <w:basedOn w:val="Normln"/>
    <w:next w:val="Normln"/>
    <w:uiPriority w:val="9"/>
    <w:semiHidden/>
    <w:unhideWhenUsed/>
    <w:qFormat/>
    <w:pPr>
      <w:keepNext/>
      <w:spacing w:before="240" w:after="60"/>
      <w:outlineLvl w:val="2"/>
    </w:pPr>
    <w:rPr>
      <w:rFonts w:ascii="Calibri" w:eastAsia="Calibri" w:hAnsi="Calibri" w:cs="Calibri"/>
      <w:b/>
      <w:bCs/>
      <w:sz w:val="26"/>
      <w:szCs w:val="26"/>
    </w:rPr>
  </w:style>
  <w:style w:type="paragraph" w:styleId="Nadpis4">
    <w:name w:val="heading 4"/>
    <w:basedOn w:val="Normln"/>
    <w:next w:val="Normln"/>
    <w:uiPriority w:val="9"/>
    <w:semiHidden/>
    <w:unhideWhenUsed/>
    <w:qFormat/>
    <w:pPr>
      <w:keepNext/>
      <w:spacing w:before="240" w:after="60"/>
      <w:outlineLvl w:val="3"/>
    </w:pPr>
    <w:rPr>
      <w:rFonts w:ascii="Calibri" w:eastAsia="Calibri" w:hAnsi="Calibri" w:cs="Calibri"/>
      <w:b/>
      <w:bCs/>
      <w:sz w:val="28"/>
      <w:szCs w:val="28"/>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Normln1">
    <w:name w:val="Normální1"/>
    <w:rsid w:val="00622BE1"/>
  </w:style>
  <w:style w:type="table" w:customStyle="1" w:styleId="TableNormal3">
    <w:name w:val="Table Normal"/>
    <w:rsid w:val="00622BE1"/>
    <w:tblPr>
      <w:tblCellMar>
        <w:top w:w="0" w:type="dxa"/>
        <w:left w:w="0" w:type="dxa"/>
        <w:bottom w:w="0" w:type="dxa"/>
        <w:right w:w="0" w:type="dxa"/>
      </w:tblCellMar>
    </w:tblPr>
  </w:style>
  <w:style w:type="table" w:customStyle="1" w:styleId="TableNormal4">
    <w:name w:val="Table Normal"/>
    <w:rsid w:val="00622BE1"/>
    <w:tblPr>
      <w:tblCellMar>
        <w:top w:w="0" w:type="dxa"/>
        <w:left w:w="0" w:type="dxa"/>
        <w:bottom w:w="0" w:type="dxa"/>
        <w:right w:w="0" w:type="dxa"/>
      </w:tblCellMar>
    </w:tblPr>
  </w:style>
  <w:style w:type="paragraph" w:styleId="Normlnweb">
    <w:name w:val="Normal (Web)"/>
    <w:uiPriority w:val="99"/>
    <w:rsid w:val="004A52C5"/>
    <w:pPr>
      <w:widowControl/>
      <w:spacing w:before="100" w:beforeAutospacing="1" w:after="100" w:afterAutospacing="1"/>
    </w:pPr>
    <w:rPr>
      <w:sz w:val="24"/>
      <w:szCs w:val="24"/>
    </w:rPr>
  </w:style>
  <w:style w:type="paragraph" w:styleId="Zkladntext">
    <w:name w:val="Body Text"/>
    <w:link w:val="ZkladntextChar"/>
    <w:rsid w:val="00622BE1"/>
    <w:rPr>
      <w:sz w:val="24"/>
    </w:rPr>
  </w:style>
  <w:style w:type="paragraph" w:styleId="Zpat">
    <w:name w:val="footer"/>
    <w:link w:val="ZpatChar"/>
    <w:uiPriority w:val="99"/>
    <w:rsid w:val="00622BE1"/>
    <w:pPr>
      <w:tabs>
        <w:tab w:val="center" w:pos="4536"/>
        <w:tab w:val="right" w:pos="9069"/>
      </w:tabs>
    </w:pPr>
  </w:style>
  <w:style w:type="paragraph" w:styleId="Textbubliny">
    <w:name w:val="Balloon Text"/>
    <w:rsid w:val="00622BE1"/>
    <w:rPr>
      <w:rFonts w:ascii="Tahoma" w:hAnsi="Tahoma"/>
      <w:sz w:val="16"/>
    </w:rPr>
  </w:style>
  <w:style w:type="paragraph" w:styleId="Textkomente">
    <w:name w:val="annotation text"/>
    <w:rsid w:val="00622BE1"/>
  </w:style>
  <w:style w:type="paragraph" w:styleId="Pedmtkomente">
    <w:name w:val="annotation subject"/>
    <w:basedOn w:val="Textkomente"/>
    <w:next w:val="Textkomente"/>
    <w:rsid w:val="00622BE1"/>
    <w:rPr>
      <w:b/>
    </w:rPr>
  </w:style>
  <w:style w:type="paragraph" w:styleId="Zhlav">
    <w:name w:val="header"/>
    <w:rsid w:val="00622BE1"/>
    <w:pPr>
      <w:tabs>
        <w:tab w:val="center" w:pos="4536"/>
        <w:tab w:val="right" w:pos="9069"/>
      </w:tabs>
    </w:pPr>
  </w:style>
  <w:style w:type="paragraph" w:styleId="Zkladntextodsazen">
    <w:name w:val="Body Text Indent"/>
    <w:link w:val="ZkladntextodsazenChar"/>
    <w:rsid w:val="00622BE1"/>
    <w:pPr>
      <w:spacing w:after="120"/>
      <w:ind w:left="283"/>
    </w:pPr>
  </w:style>
  <w:style w:type="paragraph" w:styleId="Titulek">
    <w:name w:val="caption"/>
    <w:qFormat/>
    <w:rsid w:val="00010070"/>
    <w:rPr>
      <w:b/>
      <w:bCs/>
    </w:rPr>
  </w:style>
  <w:style w:type="character" w:styleId="Odkaznakoment">
    <w:name w:val="annotation reference"/>
    <w:semiHidden/>
    <w:rsid w:val="00010070"/>
    <w:rPr>
      <w:sz w:val="16"/>
      <w:szCs w:val="16"/>
    </w:rPr>
  </w:style>
  <w:style w:type="paragraph" w:styleId="slovanseznam">
    <w:name w:val="List Number"/>
    <w:rsid w:val="00174BDF"/>
    <w:pPr>
      <w:tabs>
        <w:tab w:val="num" w:pos="1080"/>
      </w:tabs>
      <w:autoSpaceDE w:val="0"/>
      <w:autoSpaceDN w:val="0"/>
      <w:adjustRightInd w:val="0"/>
      <w:spacing w:before="60"/>
      <w:ind w:left="504" w:hanging="504"/>
      <w:jc w:val="both"/>
    </w:pPr>
    <w:rPr>
      <w:rFonts w:ascii="Arial" w:hAnsi="Arial" w:cs="Arial"/>
      <w:szCs w:val="22"/>
    </w:rPr>
  </w:style>
  <w:style w:type="paragraph" w:customStyle="1" w:styleId="atext">
    <w:name w:val="a) text"/>
    <w:qFormat/>
    <w:rsid w:val="005B7F40"/>
    <w:pPr>
      <w:numPr>
        <w:ilvl w:val="2"/>
      </w:numPr>
      <w:ind w:left="720" w:hanging="720"/>
    </w:pPr>
  </w:style>
  <w:style w:type="paragraph" w:styleId="Rozloendokumentu">
    <w:name w:val="Document Map"/>
    <w:semiHidden/>
    <w:rsid w:val="009D34F8"/>
    <w:pPr>
      <w:shd w:val="clear" w:color="auto" w:fill="000080"/>
    </w:pPr>
    <w:rPr>
      <w:rFonts w:ascii="Tahoma" w:hAnsi="Tahoma" w:cs="Tahoma"/>
    </w:rPr>
  </w:style>
  <w:style w:type="character" w:styleId="Hypertextovodkaz">
    <w:name w:val="Hyperlink"/>
    <w:rsid w:val="00DE7257"/>
    <w:rPr>
      <w:color w:val="0000FF"/>
      <w:u w:val="single"/>
    </w:rPr>
  </w:style>
  <w:style w:type="character" w:customStyle="1" w:styleId="Nevyeenzmnka1">
    <w:name w:val="Nevyřešená zmínka1"/>
    <w:uiPriority w:val="99"/>
    <w:semiHidden/>
    <w:unhideWhenUsed/>
    <w:rsid w:val="00765F50"/>
    <w:rPr>
      <w:color w:val="605E5C"/>
      <w:shd w:val="clear" w:color="auto" w:fill="E1DFDD"/>
    </w:rPr>
  </w:style>
  <w:style w:type="paragraph" w:customStyle="1" w:styleId="i">
    <w:name w:val="i."/>
    <w:basedOn w:val="atext"/>
    <w:qFormat/>
    <w:rsid w:val="005B7F40"/>
    <w:pPr>
      <w:numPr>
        <w:ilvl w:val="3"/>
      </w:numPr>
      <w:ind w:left="720" w:hanging="720"/>
    </w:pPr>
  </w:style>
  <w:style w:type="character" w:customStyle="1" w:styleId="Nadpis3Char">
    <w:name w:val="Nadpis 3 Char"/>
    <w:semiHidden/>
    <w:rsid w:val="005B7F40"/>
    <w:rPr>
      <w:rFonts w:ascii="Calibri Light" w:eastAsia="Times New Roman" w:hAnsi="Calibri Light" w:cs="Times New Roman"/>
      <w:b/>
      <w:bCs/>
      <w:sz w:val="26"/>
      <w:szCs w:val="26"/>
    </w:rPr>
  </w:style>
  <w:style w:type="table" w:styleId="Mkatabulky">
    <w:name w:val="Table Grid"/>
    <w:basedOn w:val="Normlntabulka"/>
    <w:rsid w:val="00207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semiHidden/>
    <w:rsid w:val="005B7F40"/>
    <w:rPr>
      <w:rFonts w:ascii="Calibri" w:eastAsia="Times New Roman" w:hAnsi="Calibri" w:cs="Times New Roman"/>
      <w:b/>
      <w:bCs/>
      <w:sz w:val="28"/>
      <w:szCs w:val="28"/>
    </w:rPr>
  </w:style>
  <w:style w:type="paragraph" w:styleId="Revize">
    <w:name w:val="Revision"/>
    <w:hidden/>
    <w:uiPriority w:val="99"/>
    <w:semiHidden/>
    <w:rsid w:val="00083447"/>
  </w:style>
  <w:style w:type="character" w:customStyle="1" w:styleId="ZkladntextChar">
    <w:name w:val="Základní text Char"/>
    <w:link w:val="Zkladntext"/>
    <w:rsid w:val="005B7F40"/>
    <w:rPr>
      <w:sz w:val="24"/>
    </w:rPr>
  </w:style>
  <w:style w:type="character" w:customStyle="1" w:styleId="ZkladntextodsazenChar">
    <w:name w:val="Základní text odsazený Char"/>
    <w:basedOn w:val="Standardnpsmoodstavce"/>
    <w:link w:val="Zkladntextodsazen"/>
    <w:rsid w:val="005B7F40"/>
  </w:style>
  <w:style w:type="character" w:styleId="Zstupntext">
    <w:name w:val="Placeholder Text"/>
    <w:basedOn w:val="Standardnpsmoodstavce"/>
    <w:uiPriority w:val="99"/>
    <w:semiHidden/>
    <w:rsid w:val="00502970"/>
    <w:rPr>
      <w:color w:val="808080"/>
    </w:rPr>
  </w:style>
  <w:style w:type="table" w:customStyle="1" w:styleId="a">
    <w:basedOn w:val="TableNormal4"/>
    <w:rsid w:val="00622BE1"/>
    <w:tblPr>
      <w:tblStyleRowBandSize w:val="1"/>
      <w:tblStyleColBandSize w:val="1"/>
      <w:tblCellMar>
        <w:left w:w="115" w:type="dxa"/>
        <w:right w:w="115" w:type="dxa"/>
      </w:tblCellMar>
    </w:tblPr>
  </w:style>
  <w:style w:type="paragraph" w:styleId="Odstavecseseznamem">
    <w:name w:val="List Paragraph"/>
    <w:uiPriority w:val="34"/>
    <w:qFormat/>
    <w:rsid w:val="00CD0632"/>
    <w:pPr>
      <w:ind w:left="720"/>
      <w:contextualSpacing/>
    </w:pPr>
  </w:style>
  <w:style w:type="paragraph" w:customStyle="1" w:styleId="Default">
    <w:name w:val="Default"/>
    <w:rsid w:val="00E85440"/>
    <w:pPr>
      <w:widowControl/>
      <w:autoSpaceDE w:val="0"/>
      <w:autoSpaceDN w:val="0"/>
      <w:adjustRightInd w:val="0"/>
    </w:pPr>
    <w:rPr>
      <w:rFonts w:ascii="Calibri" w:eastAsiaTheme="minorHAnsi" w:hAnsi="Calibri" w:cs="Calibri"/>
      <w:color w:val="000000"/>
      <w:sz w:val="24"/>
      <w:szCs w:val="24"/>
      <w:lang w:eastAsia="en-US"/>
    </w:rPr>
  </w:style>
  <w:style w:type="table" w:customStyle="1" w:styleId="a0">
    <w:basedOn w:val="TableNormal4"/>
    <w:rsid w:val="00622BE1"/>
    <w:tblPr>
      <w:tblStyleRowBandSize w:val="1"/>
      <w:tblStyleColBandSize w:val="1"/>
      <w:tblCellMar>
        <w:left w:w="115" w:type="dxa"/>
        <w:right w:w="115" w:type="dxa"/>
      </w:tblCellMar>
    </w:tblPr>
  </w:style>
  <w:style w:type="paragraph" w:customStyle="1" w:styleId="B-Zkladn">
    <w:name w:val="B-Základní"/>
    <w:basedOn w:val="Zkladntext"/>
    <w:rsid w:val="00B85540"/>
    <w:pPr>
      <w:keepLines/>
      <w:widowControl/>
      <w:numPr>
        <w:numId w:val="4"/>
      </w:numPr>
      <w:spacing w:after="120"/>
    </w:pPr>
  </w:style>
  <w:style w:type="character" w:customStyle="1" w:styleId="Nadpis2Char">
    <w:name w:val="Nadpis 2 Char"/>
    <w:basedOn w:val="Standardnpsmoodstavce"/>
    <w:uiPriority w:val="9"/>
    <w:rsid w:val="003A236F"/>
    <w:rPr>
      <w:rFonts w:ascii="Tahoma" w:hAnsi="Tahoma" w:cs="Tahoma"/>
      <w:bCs/>
    </w:rPr>
  </w:style>
  <w:style w:type="character" w:customStyle="1" w:styleId="ZpatChar">
    <w:name w:val="Zápatí Char"/>
    <w:basedOn w:val="Standardnpsmoodstavce"/>
    <w:link w:val="Zpat"/>
    <w:uiPriority w:val="99"/>
    <w:rsid w:val="003916B0"/>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4IQ5ADpFnC4qRtN+QwbYzCNvw==">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2267</Words>
  <Characters>13380</Characters>
  <Application>Microsoft Office Word</Application>
  <DocSecurity>0</DocSecurity>
  <Lines>111</Lines>
  <Paragraphs>31</Paragraphs>
  <ScaleCrop>false</ScaleCrop>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 Vladíková</dc:creator>
  <cp:lastModifiedBy>Lenka Kopáčová</cp:lastModifiedBy>
  <cp:revision>3</cp:revision>
  <dcterms:created xsi:type="dcterms:W3CDTF">2026-03-25T10:25:00Z</dcterms:created>
  <dcterms:modified xsi:type="dcterms:W3CDTF">2026-03-25T10:29:00Z</dcterms:modified>
</cp:coreProperties>
</file>