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072D1BFD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C623F3" w:rsidRPr="00C623F3">
        <w:rPr>
          <w:rFonts w:asciiTheme="majorHAnsi" w:hAnsiTheme="majorHAnsi" w:cstheme="majorHAnsi"/>
          <w:b/>
          <w:sz w:val="28"/>
          <w:szCs w:val="28"/>
        </w:rPr>
        <w:t>Spotřební materiál pro provoz 2 acidobazických analyzátorů včetně jejich výpůjčky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555EFA6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C623F3">
      <w:rPr>
        <w:rFonts w:asciiTheme="majorHAnsi" w:hAnsiTheme="majorHAnsi" w:cstheme="majorHAnsi"/>
        <w:sz w:val="20"/>
        <w:szCs w:val="28"/>
      </w:rPr>
      <w:t xml:space="preserve">Příloha č. </w:t>
    </w:r>
    <w:r w:rsidR="00F57102" w:rsidRPr="00C623F3">
      <w:rPr>
        <w:rFonts w:asciiTheme="majorHAnsi" w:hAnsiTheme="majorHAnsi" w:cstheme="majorHAnsi"/>
        <w:sz w:val="20"/>
        <w:szCs w:val="28"/>
      </w:rPr>
      <w:t>5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71B87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623F3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2025-07-07T10:27:00Z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