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4844" w14:textId="044C1EE4" w:rsidR="007814A5" w:rsidRPr="00806A36" w:rsidRDefault="007814A5" w:rsidP="0048216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SPECIFIKACE SERVISNÍ SLUŽBY</w:t>
      </w:r>
      <w:r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11DE2429" w14:textId="47BEFF5C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Předmětem plnění je poskytování základní podpory MOS a služby rozšířené podpory k zajištění kontinuální provozuschopnosti v případě nutnosti opustit pracoviště ZOS, mobilita s využitím hardwarových prostředků objednatele s ohledem na několik bezpečnostních rizik v podobě navazujících scénářů řešení krizového řízení ZOS. </w:t>
      </w:r>
    </w:p>
    <w:p w14:paraId="121DE900" w14:textId="77777777" w:rsidR="007814A5" w:rsidRPr="00806A36" w:rsidRDefault="007814A5" w:rsidP="007814A5">
      <w:pPr>
        <w:spacing w:after="0" w:line="240" w:lineRule="auto"/>
        <w:ind w:left="11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20807001" w14:textId="7E8B9CE4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Součástí plnění poskytovaného poskytovatelem jsou:  </w:t>
      </w:r>
    </w:p>
    <w:p w14:paraId="7A55A961" w14:textId="77777777" w:rsidR="007814A5" w:rsidRPr="00806A36" w:rsidRDefault="007814A5" w:rsidP="00482160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Služby základní podpory </w:t>
      </w:r>
    </w:p>
    <w:p w14:paraId="434FF855" w14:textId="77777777" w:rsidR="007814A5" w:rsidRPr="00806A36" w:rsidRDefault="007814A5" w:rsidP="00482160">
      <w:pPr>
        <w:numPr>
          <w:ilvl w:val="0"/>
          <w:numId w:val="2"/>
        </w:numPr>
        <w:spacing w:after="0" w:line="240" w:lineRule="auto"/>
        <w:ind w:left="144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hot-line pro hlášení závad a provozních problémů </w:t>
      </w:r>
    </w:p>
    <w:p w14:paraId="6DF6A5B9" w14:textId="77777777" w:rsidR="007814A5" w:rsidRPr="00806A36" w:rsidRDefault="007814A5" w:rsidP="00482160">
      <w:pPr>
        <w:numPr>
          <w:ilvl w:val="0"/>
          <w:numId w:val="3"/>
        </w:numPr>
        <w:spacing w:after="0" w:line="240" w:lineRule="auto"/>
        <w:ind w:left="144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řešení hlášených závad a provozních problémů nad rámec záruky v definovaných lhůtách a stanoveným způsobem </w:t>
      </w:r>
    </w:p>
    <w:p w14:paraId="2A40AA09" w14:textId="49776FAB" w:rsidR="007814A5" w:rsidRPr="00806A36" w:rsidRDefault="007814A5" w:rsidP="00482160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Služby rozšířené podpory v počtu 1 MD/kalendářní měsíc, tj. </w:t>
      </w:r>
      <w:r w:rsidRPr="00806A36">
        <w:rPr>
          <w:rFonts w:ascii="Calibri" w:hAnsi="Calibri" w:cs="Calibri"/>
          <w:sz w:val="22"/>
          <w:szCs w:val="22"/>
        </w:rPr>
        <w:t>24 MD</w:t>
      </w:r>
      <w:r w:rsidRPr="00806A36">
        <w:rPr>
          <w:rFonts w:ascii="Calibri" w:hAnsi="Calibri" w:cs="Calibri"/>
          <w:sz w:val="22"/>
          <w:szCs w:val="22"/>
        </w:rPr>
        <w:t xml:space="preserve"> celkem za celou dobu trvání smlouvy (24 měsíců), nebude-li dohodnuto jinak.</w:t>
      </w:r>
      <w:commentRangeStart w:id="0"/>
      <w:commentRangeEnd w:id="0"/>
    </w:p>
    <w:p w14:paraId="0DC7F077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4A60CCDD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Bližší popis předmětu plnění: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260"/>
      </w:tblGrid>
      <w:tr w:rsidR="007814A5" w:rsidRPr="00806A36" w14:paraId="5C2B7893" w14:textId="77777777" w:rsidTr="00DE7FB3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7EA006A2" w14:textId="77777777" w:rsidR="007814A5" w:rsidRPr="00806A36" w:rsidRDefault="007814A5" w:rsidP="00DE7FB3">
            <w:pPr>
              <w:spacing w:after="0" w:line="240" w:lineRule="auto"/>
              <w:ind w:left="112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SLUŽBY SERVISNÍ PODPORY</w:t>
            </w: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814A5" w:rsidRPr="00806A36" w14:paraId="54062E67" w14:textId="77777777" w:rsidTr="00DE7FB3">
        <w:trPr>
          <w:trHeight w:val="300"/>
        </w:trPr>
        <w:tc>
          <w:tcPr>
            <w:tcW w:w="58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BD85AF" w14:textId="3467ABA1" w:rsidR="007814A5" w:rsidRPr="00806A36" w:rsidRDefault="007814A5" w:rsidP="00DE7F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Vzdálená správa (VPN zajistí objednatel)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BE3BBB" w14:textId="77777777" w:rsidR="007814A5" w:rsidRPr="00806A36" w:rsidRDefault="007814A5" w:rsidP="00DE7F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Ano </w:t>
            </w:r>
          </w:p>
        </w:tc>
      </w:tr>
      <w:tr w:rsidR="007814A5" w:rsidRPr="00806A36" w14:paraId="0C421DE0" w14:textId="77777777" w:rsidTr="00DE7FB3">
        <w:trPr>
          <w:trHeight w:val="300"/>
        </w:trPr>
        <w:tc>
          <w:tcPr>
            <w:tcW w:w="58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2F0B79" w14:textId="77777777" w:rsidR="007814A5" w:rsidRPr="00806A36" w:rsidRDefault="007814A5" w:rsidP="00DE7F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Základní profylaxe v rozsahu: kontrola integrity DB, analýza aplikačních logů, případný návrh opatření pro bezproblémový chod aplikace atd.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D7E393" w14:textId="76188B68" w:rsidR="007814A5" w:rsidRPr="00806A36" w:rsidRDefault="007814A5" w:rsidP="00DE7F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1x čtvrtletně </w:t>
            </w:r>
          </w:p>
        </w:tc>
      </w:tr>
      <w:tr w:rsidR="00F21D42" w:rsidRPr="00806A36" w14:paraId="19BFD0A6" w14:textId="77777777" w:rsidTr="006114C1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hideMark/>
          </w:tcPr>
          <w:p w14:paraId="6E56F9F3" w14:textId="11B45B75" w:rsidR="00F21D42" w:rsidRPr="00806A36" w:rsidRDefault="00F21D42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Pracovní doba</w:t>
            </w: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 w:rsidRPr="00806A36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(PD)</w:t>
            </w:r>
          </w:p>
        </w:tc>
      </w:tr>
      <w:tr w:rsidR="00F21D42" w:rsidRPr="00806A36" w14:paraId="152612C0" w14:textId="77777777" w:rsidTr="006114C1">
        <w:trPr>
          <w:trHeight w:val="300"/>
        </w:trPr>
        <w:tc>
          <w:tcPr>
            <w:tcW w:w="58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B41D09" w14:textId="77777777" w:rsidR="00F21D42" w:rsidRPr="00806A36" w:rsidRDefault="00F21D42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Pracovní doba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CACCF9" w14:textId="635FAF50" w:rsidR="00F21D42" w:rsidRPr="00806A36" w:rsidRDefault="00BE4927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7:00 – 17:00 v pracovních dnech </w:t>
            </w:r>
          </w:p>
        </w:tc>
      </w:tr>
      <w:tr w:rsidR="00F21D42" w:rsidRPr="00806A36" w14:paraId="4A646FA8" w14:textId="77777777" w:rsidTr="006114C1">
        <w:trPr>
          <w:trHeight w:val="300"/>
        </w:trPr>
        <w:tc>
          <w:tcPr>
            <w:tcW w:w="58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0A9FC41" w14:textId="77777777" w:rsidR="00F21D42" w:rsidRPr="00806A36" w:rsidRDefault="00F21D42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Pracovní dny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3F45C5" w14:textId="77777777" w:rsidR="00F21D42" w:rsidRPr="00806A36" w:rsidRDefault="00F21D42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Pondělí až pátek, mimo státem uznané svátky </w:t>
            </w:r>
          </w:p>
        </w:tc>
      </w:tr>
      <w:tr w:rsidR="00C44D14" w:rsidRPr="00806A36" w14:paraId="73B1BC82" w14:textId="77777777" w:rsidTr="006114C1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hideMark/>
          </w:tcPr>
          <w:p w14:paraId="3E2D8771" w14:textId="77777777" w:rsidR="00C44D14" w:rsidRPr="00806A36" w:rsidRDefault="00C44D14" w:rsidP="006114C1">
            <w:pPr>
              <w:spacing w:after="0" w:line="240" w:lineRule="auto"/>
              <w:ind w:left="112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Závady celého systému</w:t>
            </w: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44D14" w:rsidRPr="00806A36" w14:paraId="56207F88" w14:textId="77777777" w:rsidTr="006114C1">
        <w:trPr>
          <w:trHeight w:val="300"/>
        </w:trPr>
        <w:tc>
          <w:tcPr>
            <w:tcW w:w="580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99CBDB" w14:textId="77777777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Závada kategorie P1: znamená stav, kdy bude v důsledku fatální závady MOS zcela nefunkční a vyřazený z provozu. </w:t>
            </w:r>
            <w:commentRangeStart w:id="1"/>
            <w:commentRangeEnd w:id="1"/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D92E48" w14:textId="0595796F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Response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4 hodiny v PD</w:t>
            </w:r>
          </w:p>
          <w:p w14:paraId="1B2E3128" w14:textId="570F817C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max. 12 hodin mimo PD  </w:t>
            </w:r>
          </w:p>
        </w:tc>
      </w:tr>
      <w:tr w:rsidR="00C44D14" w:rsidRPr="00806A36" w14:paraId="45C5780F" w14:textId="77777777" w:rsidTr="006114C1">
        <w:trPr>
          <w:trHeight w:val="300"/>
        </w:trPr>
        <w:tc>
          <w:tcPr>
            <w:tcW w:w="580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C9607E" w14:textId="77777777" w:rsidR="00C44D14" w:rsidRPr="00806A36" w:rsidRDefault="00C44D14" w:rsidP="006114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29998F" w14:textId="7E8F8C09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Fix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12 hodin v PD</w:t>
            </w:r>
          </w:p>
          <w:p w14:paraId="4387A4AE" w14:textId="1263E44F" w:rsidR="00C8416D" w:rsidRPr="00806A36" w:rsidRDefault="00C8416D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max. 36 hodin mimo PD </w:t>
            </w:r>
          </w:p>
        </w:tc>
      </w:tr>
      <w:tr w:rsidR="00C44D14" w:rsidRPr="00806A36" w14:paraId="6DCC5085" w14:textId="77777777" w:rsidTr="006114C1">
        <w:trPr>
          <w:trHeight w:val="300"/>
        </w:trPr>
        <w:tc>
          <w:tcPr>
            <w:tcW w:w="580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9BB0EA" w14:textId="77777777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Závada kategorie P2: znamená stav, kdy bude v důsledku závady nefunkční kritická funkcionalita MOS pro více uživatelů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69B103" w14:textId="5A34A03F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Response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24 hodin v PD</w:t>
            </w:r>
          </w:p>
          <w:p w14:paraId="46DED634" w14:textId="769AB7B4" w:rsidR="00C8416D" w:rsidRPr="00806A36" w:rsidRDefault="00C8416D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max.  72 hodin mimo PD</w:t>
            </w:r>
          </w:p>
        </w:tc>
      </w:tr>
      <w:tr w:rsidR="00C44D14" w:rsidRPr="00806A36" w14:paraId="2B00FFDA" w14:textId="77777777" w:rsidTr="006114C1">
        <w:trPr>
          <w:trHeight w:val="300"/>
        </w:trPr>
        <w:tc>
          <w:tcPr>
            <w:tcW w:w="580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39F108" w14:textId="77777777" w:rsidR="00C44D14" w:rsidRPr="00806A36" w:rsidRDefault="00C44D14" w:rsidP="006114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090221" w14:textId="11D3165C" w:rsidR="00C8416D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Fix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48 hodin v PD</w:t>
            </w:r>
          </w:p>
          <w:p w14:paraId="13E09D58" w14:textId="25496631" w:rsidR="00C44D14" w:rsidRPr="00806A36" w:rsidRDefault="00C8416D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max. 96 hodin mimo PD  </w:t>
            </w:r>
          </w:p>
        </w:tc>
      </w:tr>
      <w:tr w:rsidR="00C44D14" w:rsidRPr="00806A36" w14:paraId="76160E57" w14:textId="77777777" w:rsidTr="006114C1">
        <w:trPr>
          <w:trHeight w:val="300"/>
        </w:trPr>
        <w:tc>
          <w:tcPr>
            <w:tcW w:w="580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642197" w14:textId="77777777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Závada kategorie P3: znamená stav, kdy bude v důsledku závady nefunkční nekritická funkcionalita MOS nebo omezen komfort jeho uživatelského ovládání s méně závažnými dopady na provoz 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015376" w14:textId="4ECC5AEE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Response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72 hodin v PD</w:t>
            </w:r>
          </w:p>
          <w:p w14:paraId="7C697E0F" w14:textId="5926B6D5" w:rsidR="00C8416D" w:rsidRPr="00806A36" w:rsidRDefault="00C8416D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max. 120 hodin mimo PD</w:t>
            </w:r>
          </w:p>
        </w:tc>
      </w:tr>
      <w:tr w:rsidR="00C44D14" w:rsidRPr="00806A36" w14:paraId="42887125" w14:textId="77777777" w:rsidTr="006114C1">
        <w:trPr>
          <w:trHeight w:val="300"/>
        </w:trPr>
        <w:tc>
          <w:tcPr>
            <w:tcW w:w="580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311A6A" w14:textId="77777777" w:rsidR="00C44D14" w:rsidRPr="00806A36" w:rsidRDefault="00C44D14" w:rsidP="006114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E0F621" w14:textId="151268AB" w:rsidR="00C44D14" w:rsidRPr="00806A36" w:rsidRDefault="00C44D14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Fix </w:t>
            </w:r>
            <w:proofErr w:type="spellStart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Time</w:t>
            </w:r>
            <w:proofErr w:type="spellEnd"/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: max. 120 hodin v PD</w:t>
            </w:r>
          </w:p>
          <w:p w14:paraId="41CF2342" w14:textId="093FB1E8" w:rsidR="00C8416D" w:rsidRPr="00806A36" w:rsidRDefault="00C8416D" w:rsidP="006114C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06A3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max. 168 mimo PD</w:t>
            </w:r>
          </w:p>
        </w:tc>
      </w:tr>
    </w:tbl>
    <w:p w14:paraId="03EBFF00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cs-CZ"/>
          <w14:ligatures w14:val="none"/>
        </w:rPr>
      </w:pPr>
    </w:p>
    <w:p w14:paraId="0FA25608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cs-CZ"/>
          <w14:ligatures w14:val="none"/>
        </w:rPr>
        <w:t>Vysvětlení použitých termínů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61CB18C4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Response </w:t>
      </w:r>
      <w:proofErr w:type="spellStart"/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: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47820952" w14:textId="6CD11335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Čas potřebný k identifikování závady a poskytnutí zpětné vazby s potvrzením typu závady (P1, P2, P3) objednateli a zahájení kroků k odstranění závady. </w:t>
      </w:r>
    </w:p>
    <w:p w14:paraId="62AC5AC4" w14:textId="7973B02D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Fix </w:t>
      </w:r>
      <w:proofErr w:type="spellStart"/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="00C23AAE"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: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0922F217" w14:textId="02E5F254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Lhůta běžící od nahlášení závady, do které se poskytovatel zavazuje odstranit nahlášenou závadu nebo vytvořit pracovní postup „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workaround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“, který povede ke snížení kategorie nahlášené závady. </w:t>
      </w:r>
    </w:p>
    <w:p w14:paraId="1CAE0A84" w14:textId="0BA093E1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 případě „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workaround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“ bude tato závada následně řešena ve Fix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dle kategorie závady, na kterou byla snížena. Závada bude ve Fix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odstraněna za předpokladu, že objednatel zpřístupní poskytovateli zařízení, kterého se nahlášená závada týká, je-li to pro daný případ nahlášené závady nezbytné. Dohodnou-li se obě smluvní strany písemně na provedení zásahu v termínu po Fix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nebude toto považováno za nedodržení Fix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ze strany poskytovatele. </w:t>
      </w:r>
    </w:p>
    <w:p w14:paraId="5BD6193B" w14:textId="1A82DE59" w:rsidR="007814A5" w:rsidRPr="00806A36" w:rsidRDefault="00B44CF7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lastRenderedPageBreak/>
        <w:t>Objednatel se zavazuje poskytovat veškerou potřebnou součinnost při nasazování nových verzí všech součástí MOS a podílet se na jeho testování. Pro každé nasazení nové verze SW/aplikace do produkčního prostředí bude poskytovatelem předložen a objednatelem odsouhlasen detailní harmonogram nasazení, obsahující popis jednotlivých kroků vč. jejich časové náročnosti, definice zodpovědností za provedení jednotlivých kroků a specifikace požadované součinnosti. Harmonogram bude obsahovat též postup návratu k předchozí verzi SW/aplikace pro případ, že by v průběhu nasazení nebo bezprostředně po jeho dokončení došlo k výskytu kritických chyb nebo dalších závad. </w:t>
      </w:r>
    </w:p>
    <w:p w14:paraId="3F92DDE0" w14:textId="39236495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16D4FB17" w14:textId="77777777" w:rsidR="006115DF" w:rsidRPr="00806A36" w:rsidRDefault="006115DF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0056B45E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cs-CZ"/>
          <w14:ligatures w14:val="none"/>
        </w:rPr>
        <w:t>Podmínky poskytování služeb servisní podpory: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19523365" w14:textId="6ED070D0" w:rsidR="007814A5" w:rsidRPr="00806A36" w:rsidRDefault="007814A5" w:rsidP="00482160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Konfigurace – HW i SW konfigurace, na kterou se vztahují vyjmenované odborné služby servisní podpory, jsou součástí dokumentace k MOS, která b</w:t>
      </w:r>
      <w:r w:rsidR="0047672D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ude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předána při zahájení poskytování servisních služeb. </w:t>
      </w:r>
    </w:p>
    <w:p w14:paraId="018A7AD8" w14:textId="77777777" w:rsidR="007814A5" w:rsidRPr="00806A36" w:rsidRDefault="007814A5" w:rsidP="00482160">
      <w:pPr>
        <w:numPr>
          <w:ilvl w:val="0"/>
          <w:numId w:val="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Kvalita a záruky </w:t>
      </w:r>
    </w:p>
    <w:p w14:paraId="38976773" w14:textId="77777777" w:rsidR="007814A5" w:rsidRPr="00806A36" w:rsidRDefault="007814A5" w:rsidP="00482160">
      <w:pPr>
        <w:numPr>
          <w:ilvl w:val="0"/>
          <w:numId w:val="7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Kvalita servisních služeb bude zcela odpovídat požadavkům kladeným na HW i SW ve shodě s projektovou dokumentací. </w:t>
      </w:r>
    </w:p>
    <w:p w14:paraId="23686E8B" w14:textId="7DC47660" w:rsidR="007814A5" w:rsidRPr="00806A36" w:rsidRDefault="007814A5" w:rsidP="00482160">
      <w:pPr>
        <w:numPr>
          <w:ilvl w:val="0"/>
          <w:numId w:val="8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Poskytovatel se zavazuje provádět servisní služby v kvalitě odpovídající účelu </w:t>
      </w:r>
      <w:r w:rsidR="0047672D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mlouvy, obecně závazným předpisům a platným technickým normám. </w:t>
      </w:r>
    </w:p>
    <w:p w14:paraId="786591C0" w14:textId="7DF0F82F" w:rsidR="007814A5" w:rsidRPr="00806A36" w:rsidRDefault="007814A5" w:rsidP="00482160">
      <w:pPr>
        <w:numPr>
          <w:ilvl w:val="0"/>
          <w:numId w:val="9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Poskytovatel bude odpovídat za závady na HW produktu způsobené neodbornou obsluhou nebo údržbou pracovníky poskytovatele, a to až do výše nákupní ceny produktu, na kterém vznikla škoda.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Za neodbornou obsluhu se považuje výlučně manipulace pracovníků poskytovatele nebo jeho poddodavatelů. Škody vzniklé uživateli objednatele se dle </w:t>
      </w:r>
      <w:r w:rsidR="00497D2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</w:t>
      </w:r>
      <w:bookmarkStart w:id="2" w:name="_GoBack"/>
      <w:bookmarkEnd w:id="2"/>
      <w:r w:rsidR="00497D2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dst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 6.12. hlavní smlouvy nevztahují na tuto odpovědnost.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commentRangeStart w:id="3"/>
      <w:commentRangeEnd w:id="3"/>
    </w:p>
    <w:p w14:paraId="6B9568FC" w14:textId="77777777" w:rsidR="007814A5" w:rsidRPr="00806A36" w:rsidRDefault="007814A5" w:rsidP="00482160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Obnova dat, bezpečnost a pravidla pro update aplikace </w:t>
      </w:r>
    </w:p>
    <w:p w14:paraId="5DE97D83" w14:textId="3997815C" w:rsidR="007814A5" w:rsidRPr="00806A36" w:rsidRDefault="007814A5" w:rsidP="00482160">
      <w:pPr>
        <w:numPr>
          <w:ilvl w:val="0"/>
          <w:numId w:val="11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Poskytovatel nebude odpovědný za ztrátu nebo změnu dat při provozu počítačového systému objednatele způsobenou používáním systému objednatelem v rozporu s projektovou dokumentací. Případnou obnovu dat bude provádět 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oskytovatel ze záloh předaných mu objednatelem. </w:t>
      </w:r>
    </w:p>
    <w:p w14:paraId="6180EF11" w14:textId="044A6AC3" w:rsidR="007814A5" w:rsidRPr="00806A36" w:rsidRDefault="007814A5" w:rsidP="00482160">
      <w:pPr>
        <w:numPr>
          <w:ilvl w:val="0"/>
          <w:numId w:val="12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Poskytovatel upozorní objednatele na případné změny v doporučených pravidlech pro zálohování a obnovu systému, která byla součástí projektové dokumentace. </w:t>
      </w:r>
    </w:p>
    <w:p w14:paraId="2A604F45" w14:textId="59808F75" w:rsidR="007814A5" w:rsidRPr="00806A36" w:rsidRDefault="00B44CF7" w:rsidP="00482160">
      <w:pPr>
        <w:numPr>
          <w:ilvl w:val="0"/>
          <w:numId w:val="13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Objednatel se zaváže zachovat před provedením update serverové části aplikace předchozí funkční konfiguraci aplikace pro případ její opětovné potřeby. </w:t>
      </w:r>
    </w:p>
    <w:p w14:paraId="4BCDD9B7" w14:textId="77777777" w:rsidR="007814A5" w:rsidRPr="00806A36" w:rsidRDefault="007814A5" w:rsidP="00482160">
      <w:pPr>
        <w:numPr>
          <w:ilvl w:val="0"/>
          <w:numId w:val="14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Poskytovatel v plném rozsahu odpovídá za provádění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patch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-managementu serverů a mobilních zařízení. </w:t>
      </w:r>
    </w:p>
    <w:p w14:paraId="33261E8B" w14:textId="7A211B81" w:rsidR="007814A5" w:rsidRPr="00806A36" w:rsidRDefault="007814A5" w:rsidP="00482160">
      <w:pPr>
        <w:numPr>
          <w:ilvl w:val="0"/>
          <w:numId w:val="15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Nové verze systému a aplikací budou poskytovatelem předány objednateli k ověření deklarované funkčnosti. Vlastní implementace nebo instalace bude provedena poskytovatelem po odsouhlasení objednatelem. Toto se netýká odstranění závad v rámci plnění Fix </w:t>
      </w:r>
      <w:proofErr w:type="spellStart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 </w:t>
      </w:r>
    </w:p>
    <w:p w14:paraId="586E84E6" w14:textId="4DA54EFE" w:rsidR="007814A5" w:rsidRPr="00806A36" w:rsidRDefault="007814A5" w:rsidP="00482160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Omezení aplikace smlouvy </w:t>
      </w:r>
    </w:p>
    <w:p w14:paraId="22ED538F" w14:textId="52F6DF7C" w:rsidR="007814A5" w:rsidRPr="00806A36" w:rsidRDefault="007814A5" w:rsidP="00482160">
      <w:pPr>
        <w:numPr>
          <w:ilvl w:val="0"/>
          <w:numId w:val="17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 rámci smlouvy nebude poskytovatel povinen poskytovat servisní služby na takové výrobky, na kterých objednatel provedl jakékoli změny, které nejsou v souladu se specifikací výrobku dodanou výrobcem. </w:t>
      </w:r>
    </w:p>
    <w:p w14:paraId="05AB4CED" w14:textId="01761F27" w:rsidR="007814A5" w:rsidRPr="00806A36" w:rsidRDefault="007814A5" w:rsidP="00482160">
      <w:pPr>
        <w:numPr>
          <w:ilvl w:val="0"/>
          <w:numId w:val="18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Poskytovatel rovněž nebude poskytovat servisní služby pro výrobky (SW produkty jakéhokoli druhu), u kterých objednatel nedovolí provést nezbytné nebo výrobcem doporučené změny. </w:t>
      </w:r>
    </w:p>
    <w:p w14:paraId="17B2C783" w14:textId="7E21397D" w:rsidR="007814A5" w:rsidRPr="00806A36" w:rsidRDefault="00B44CF7" w:rsidP="00482160">
      <w:pPr>
        <w:numPr>
          <w:ilvl w:val="0"/>
          <w:numId w:val="19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Objednatel bude zcela zodpovídat za slučitelnost jiných výrobků, které nebudou ve </w:t>
      </w:r>
      <w:r w:rsidR="004C7F33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mlouvě zahrnuty, s výrobky, které jsou ve smlouvě vyjmenovány. </w:t>
      </w:r>
    </w:p>
    <w:p w14:paraId="409CB4E5" w14:textId="771FF20D" w:rsidR="007814A5" w:rsidRPr="00806A36" w:rsidRDefault="007814A5" w:rsidP="00482160">
      <w:pPr>
        <w:numPr>
          <w:ilvl w:val="0"/>
          <w:numId w:val="20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V rámci smlouvy nebude poskytovatel povinen poskytovat jakékoli servisní služby, jejichž potřeba vzniká následkem použití výrobků v podmínkách, které jsou v rozporu s pokyny v příslušné dokumentaci, z prací vykonaných 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lastRenderedPageBreak/>
        <w:t>neautorizovanými osobami nebo následkem vyšší moci (působení vyšší moci); tyto servisní služby však mohou být na základě předchozí písemné dohody smluvních stran provedeny na náklady objednatele s tím, že se může jednat pouze o účelně a prokazatelně vynaložené náklady. </w:t>
      </w:r>
    </w:p>
    <w:p w14:paraId="1A8A24D9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40B45680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Scénáře definující nasazení SW/aplikace v případech krizového řízení ZOS 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616732C8" w14:textId="35EE6121" w:rsidR="007814A5" w:rsidRPr="00806A36" w:rsidRDefault="007814A5" w:rsidP="00482160">
      <w:pPr>
        <w:numPr>
          <w:ilvl w:val="0"/>
          <w:numId w:val="25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Havárie (technická) na pracovišti ZOS s dostupností funkčnosti veškerých technologii ZOS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;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4F140B08" w14:textId="151101DD" w:rsidR="007814A5" w:rsidRPr="00806A36" w:rsidRDefault="007814A5" w:rsidP="00482160">
      <w:pPr>
        <w:numPr>
          <w:ilvl w:val="0"/>
          <w:numId w:val="26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Krátkodobé přerušení funkcionalit stávající technologie softwarových i hardwarových prostředků celkově, případně jejich dílčích částí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;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4EF80CB8" w14:textId="48812AB7" w:rsidR="007814A5" w:rsidRPr="00806A36" w:rsidRDefault="007814A5" w:rsidP="00482160">
      <w:pPr>
        <w:numPr>
          <w:ilvl w:val="0"/>
          <w:numId w:val="27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Kompletní výpadek dostupnosti komunikačních prostředků (GSM, PEGAS)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;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1D0CCE61" w14:textId="1E50877F" w:rsidR="007814A5" w:rsidRPr="00806A36" w:rsidRDefault="007814A5" w:rsidP="00482160">
      <w:pPr>
        <w:numPr>
          <w:ilvl w:val="0"/>
          <w:numId w:val="28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Kompletní výpadek dostupnosti datové a komunikační sítě infrastruktury ZZS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;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0F56296C" w14:textId="126AE4E3" w:rsidR="007814A5" w:rsidRPr="00806A36" w:rsidRDefault="007814A5" w:rsidP="00482160">
      <w:pPr>
        <w:numPr>
          <w:ilvl w:val="0"/>
          <w:numId w:val="29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Aktualizace a inovace SW a HW řešení současných technologii ZOS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;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777FC0F7" w14:textId="29DB9276" w:rsidR="007814A5" w:rsidRPr="00806A36" w:rsidRDefault="007814A5" w:rsidP="00482160">
      <w:pPr>
        <w:numPr>
          <w:ilvl w:val="0"/>
          <w:numId w:val="30"/>
        </w:numPr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Narušení, poškození či jiné útoky na kritickou infrastrukturu SW a HW ZOS ZZS</w:t>
      </w:r>
      <w:r w:rsidR="0064546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7B1AAE6D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2F308D9F" w14:textId="2D76B0A9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74B5DB35" w14:textId="77777777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Podmínky plnění: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7FA78745" w14:textId="77777777" w:rsidR="007814A5" w:rsidRPr="00806A36" w:rsidRDefault="007814A5" w:rsidP="007814A5">
      <w:pPr>
        <w:spacing w:after="0" w:line="240" w:lineRule="auto"/>
        <w:ind w:right="10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Akceptace</w:t>
      </w: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8FD6E68" w14:textId="639483E8" w:rsidR="007814A5" w:rsidRPr="00806A36" w:rsidRDefault="000C744B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</w:t>
      </w:r>
      <w:r w:rsidR="007814A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lužby rozvoje jsou akceptovány v akceptačním řízení na základě podpisu akceptačního protokolu. Součástí akceptačního řízení musí být akceptační testy, které byly navrženy </w:t>
      </w:r>
      <w:r w:rsidR="00076585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</w:t>
      </w:r>
      <w:r w:rsidR="007814A5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oskytovatelem a schváleny objednatelem dle požadavků na akceptační testy, projektové řízení a požadavků implementačního projektu. </w:t>
      </w:r>
    </w:p>
    <w:p w14:paraId="0D816DDE" w14:textId="77777777" w:rsidR="007814A5" w:rsidRPr="00806A36" w:rsidRDefault="007814A5" w:rsidP="007814A5">
      <w:pPr>
        <w:spacing w:after="0" w:line="240" w:lineRule="auto"/>
        <w:ind w:right="10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Mlčenlivost – NDA</w:t>
      </w: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9608835" w14:textId="0A02A4C5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Každá osoba, která se podílí na plnění této </w:t>
      </w:r>
      <w:r w:rsidR="004C7F33"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</w:t>
      </w: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mlouvy a seznamuje se s interními dokumenty objednatele, zejména z pohledu architektury ICT objednatele, analýzy a stavu ICT prostředí objednatele, tvorby bezpečnostních dokumentací a souvisejících analýz. </w:t>
      </w:r>
    </w:p>
    <w:p w14:paraId="475639B0" w14:textId="014186EC" w:rsidR="007814A5" w:rsidRPr="00806A36" w:rsidRDefault="007814A5" w:rsidP="007814A5">
      <w:pPr>
        <w:spacing w:after="0" w:line="240" w:lineRule="auto"/>
        <w:ind w:right="10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Součinnost </w:t>
      </w:r>
      <w:r w:rsidR="007F4A2B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objednatele</w:t>
      </w: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 </w:t>
      </w:r>
      <w:r w:rsidRPr="00806A3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1EFE602" w14:textId="597562F6" w:rsidR="007814A5" w:rsidRPr="00806A36" w:rsidRDefault="007814A5" w:rsidP="007814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 účelem implementace a realizace plnění poskytne objednatel poskytovateli zejména následující součinnost: </w:t>
      </w:r>
    </w:p>
    <w:p w14:paraId="7B57C918" w14:textId="77777777" w:rsidR="007814A5" w:rsidRPr="00806A36" w:rsidRDefault="007814A5" w:rsidP="00482160">
      <w:pPr>
        <w:numPr>
          <w:ilvl w:val="0"/>
          <w:numId w:val="75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Přístup do objektu a prostor implementace; </w:t>
      </w:r>
    </w:p>
    <w:p w14:paraId="71CA8CE9" w14:textId="77777777" w:rsidR="007814A5" w:rsidRPr="00806A36" w:rsidRDefault="007814A5" w:rsidP="00482160">
      <w:pPr>
        <w:numPr>
          <w:ilvl w:val="0"/>
          <w:numId w:val="76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Přístup pro zprovoznění integračních platforem v součinnosti s produkty třetích stran; </w:t>
      </w:r>
    </w:p>
    <w:p w14:paraId="028CB5C4" w14:textId="6CBAAA64" w:rsidR="007814A5" w:rsidRPr="00806A36" w:rsidRDefault="007814A5" w:rsidP="00482160">
      <w:pPr>
        <w:numPr>
          <w:ilvl w:val="0"/>
          <w:numId w:val="77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Přístup k systému a jeho jednotlivým částem, které jsou předmětem plnění této </w:t>
      </w:r>
      <w:r w:rsidR="004C7F33"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</w:t>
      </w: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mlouvy. </w:t>
      </w:r>
    </w:p>
    <w:p w14:paraId="6B25E210" w14:textId="77777777" w:rsidR="007814A5" w:rsidRPr="00806A36" w:rsidRDefault="007814A5" w:rsidP="007814A5">
      <w:pPr>
        <w:spacing w:after="0" w:line="240" w:lineRule="auto"/>
        <w:ind w:left="1125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06A3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</w:p>
    <w:p w14:paraId="275E730E" w14:textId="77777777" w:rsidR="007814A5" w:rsidRPr="00806A36" w:rsidRDefault="007814A5" w:rsidP="007814A5">
      <w:pPr>
        <w:rPr>
          <w:rFonts w:ascii="Calibri" w:hAnsi="Calibri" w:cs="Calibri"/>
          <w:sz w:val="22"/>
          <w:szCs w:val="22"/>
        </w:rPr>
      </w:pPr>
    </w:p>
    <w:p w14:paraId="0178736F" w14:textId="77777777" w:rsidR="007814A5" w:rsidRPr="00677692" w:rsidRDefault="007814A5">
      <w:pPr>
        <w:rPr>
          <w:rFonts w:ascii="Calibri" w:hAnsi="Calibri" w:cs="Calibri"/>
        </w:rPr>
      </w:pPr>
    </w:p>
    <w:sectPr w:rsidR="007814A5" w:rsidRPr="006776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2A7ADD" w16cex:dateUtc="2026-03-09T05:02:00Z"/>
  <w16cex:commentExtensible w16cex:durableId="54C10EB1" w16cex:dateUtc="2026-03-09T05:02:00Z"/>
  <w16cex:commentExtensible w16cex:durableId="50A8F4A1" w16cex:dateUtc="2026-03-09T05:02:00Z"/>
  <w16cex:commentExtensible w16cex:durableId="57B5C246" w16cex:dateUtc="2026-03-09T0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08A3" w14:textId="77777777" w:rsidR="00673F6C" w:rsidRDefault="00673F6C" w:rsidP="00482160">
      <w:pPr>
        <w:spacing w:after="0" w:line="240" w:lineRule="auto"/>
      </w:pPr>
      <w:r>
        <w:separator/>
      </w:r>
    </w:p>
  </w:endnote>
  <w:endnote w:type="continuationSeparator" w:id="0">
    <w:p w14:paraId="6DC1C4AF" w14:textId="77777777" w:rsidR="00673F6C" w:rsidRDefault="00673F6C" w:rsidP="0048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C68A" w14:textId="77777777" w:rsidR="00673F6C" w:rsidRDefault="00673F6C" w:rsidP="00482160">
      <w:pPr>
        <w:spacing w:after="0" w:line="240" w:lineRule="auto"/>
      </w:pPr>
      <w:r>
        <w:separator/>
      </w:r>
    </w:p>
  </w:footnote>
  <w:footnote w:type="continuationSeparator" w:id="0">
    <w:p w14:paraId="29ED95BD" w14:textId="77777777" w:rsidR="00673F6C" w:rsidRDefault="00673F6C" w:rsidP="0048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E9BC" w14:textId="4A3606FB" w:rsidR="00482160" w:rsidRDefault="00482160">
    <w:pPr>
      <w:pStyle w:val="Zhlav"/>
    </w:pPr>
    <w:r>
      <w:t>Příloha č. 1 smlouvy –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E11"/>
    <w:multiLevelType w:val="multilevel"/>
    <w:tmpl w:val="DF2079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544B"/>
    <w:multiLevelType w:val="multilevel"/>
    <w:tmpl w:val="082C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9039B"/>
    <w:multiLevelType w:val="multilevel"/>
    <w:tmpl w:val="EA4E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7120F"/>
    <w:multiLevelType w:val="multilevel"/>
    <w:tmpl w:val="F33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A4A5A"/>
    <w:multiLevelType w:val="multilevel"/>
    <w:tmpl w:val="685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BB0C48"/>
    <w:multiLevelType w:val="multilevel"/>
    <w:tmpl w:val="9AE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7479E"/>
    <w:multiLevelType w:val="multilevel"/>
    <w:tmpl w:val="680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D05218"/>
    <w:multiLevelType w:val="multilevel"/>
    <w:tmpl w:val="39C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1103B"/>
    <w:multiLevelType w:val="multilevel"/>
    <w:tmpl w:val="C38C7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425D2"/>
    <w:multiLevelType w:val="multilevel"/>
    <w:tmpl w:val="3F2035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D6828"/>
    <w:multiLevelType w:val="multilevel"/>
    <w:tmpl w:val="3ADA2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0735F"/>
    <w:multiLevelType w:val="multilevel"/>
    <w:tmpl w:val="B93EEF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656E7"/>
    <w:multiLevelType w:val="multilevel"/>
    <w:tmpl w:val="47B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6F1C70"/>
    <w:multiLevelType w:val="multilevel"/>
    <w:tmpl w:val="6716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A415C"/>
    <w:multiLevelType w:val="multilevel"/>
    <w:tmpl w:val="529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0864A7"/>
    <w:multiLevelType w:val="multilevel"/>
    <w:tmpl w:val="4E6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8B5D9E"/>
    <w:multiLevelType w:val="multilevel"/>
    <w:tmpl w:val="610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A550ED"/>
    <w:multiLevelType w:val="multilevel"/>
    <w:tmpl w:val="AEE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8F5458"/>
    <w:multiLevelType w:val="multilevel"/>
    <w:tmpl w:val="112E8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A8217F"/>
    <w:multiLevelType w:val="multilevel"/>
    <w:tmpl w:val="7380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D934B3"/>
    <w:multiLevelType w:val="multilevel"/>
    <w:tmpl w:val="05A03A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1424ED"/>
    <w:multiLevelType w:val="multilevel"/>
    <w:tmpl w:val="9D266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E019F3"/>
    <w:multiLevelType w:val="multilevel"/>
    <w:tmpl w:val="470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394AAC"/>
    <w:multiLevelType w:val="multilevel"/>
    <w:tmpl w:val="BC6C0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526690A"/>
    <w:multiLevelType w:val="multilevel"/>
    <w:tmpl w:val="F74CAD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2B167C"/>
    <w:multiLevelType w:val="multilevel"/>
    <w:tmpl w:val="766C9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5876B63"/>
    <w:multiLevelType w:val="multilevel"/>
    <w:tmpl w:val="0DD0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3D0810"/>
    <w:multiLevelType w:val="multilevel"/>
    <w:tmpl w:val="1AE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B550F3D"/>
    <w:multiLevelType w:val="multilevel"/>
    <w:tmpl w:val="8C2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CF739D5"/>
    <w:multiLevelType w:val="multilevel"/>
    <w:tmpl w:val="C2F82D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D705B5C"/>
    <w:multiLevelType w:val="multilevel"/>
    <w:tmpl w:val="270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E2572A4"/>
    <w:multiLevelType w:val="multilevel"/>
    <w:tmpl w:val="B7C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F463CCC"/>
    <w:multiLevelType w:val="multilevel"/>
    <w:tmpl w:val="343C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FE478C2"/>
    <w:multiLevelType w:val="multilevel"/>
    <w:tmpl w:val="01E05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FE6CDB"/>
    <w:multiLevelType w:val="multilevel"/>
    <w:tmpl w:val="D6A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A03528"/>
    <w:multiLevelType w:val="multilevel"/>
    <w:tmpl w:val="144853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D20312"/>
    <w:multiLevelType w:val="multilevel"/>
    <w:tmpl w:val="E7B0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2C7B9E"/>
    <w:multiLevelType w:val="multilevel"/>
    <w:tmpl w:val="4D44B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2605B1F"/>
    <w:multiLevelType w:val="multilevel"/>
    <w:tmpl w:val="E6166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332E35C8"/>
    <w:multiLevelType w:val="multilevel"/>
    <w:tmpl w:val="F86A92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9119A4"/>
    <w:multiLevelType w:val="multilevel"/>
    <w:tmpl w:val="A954A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3DB049CC"/>
    <w:multiLevelType w:val="multilevel"/>
    <w:tmpl w:val="B3E01E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DBE619C"/>
    <w:multiLevelType w:val="multilevel"/>
    <w:tmpl w:val="B1A8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5CC5922"/>
    <w:multiLevelType w:val="multilevel"/>
    <w:tmpl w:val="6CE05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70123BC"/>
    <w:multiLevelType w:val="multilevel"/>
    <w:tmpl w:val="299E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0B1004"/>
    <w:multiLevelType w:val="multilevel"/>
    <w:tmpl w:val="452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94476C9"/>
    <w:multiLevelType w:val="multilevel"/>
    <w:tmpl w:val="84AE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B6D6189"/>
    <w:multiLevelType w:val="multilevel"/>
    <w:tmpl w:val="42BA6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E71EEF"/>
    <w:multiLevelType w:val="multilevel"/>
    <w:tmpl w:val="DC1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2D1B62"/>
    <w:multiLevelType w:val="multilevel"/>
    <w:tmpl w:val="4A12E9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AC2201"/>
    <w:multiLevelType w:val="multilevel"/>
    <w:tmpl w:val="95B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BA4927"/>
    <w:multiLevelType w:val="multilevel"/>
    <w:tmpl w:val="466021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353057"/>
    <w:multiLevelType w:val="multilevel"/>
    <w:tmpl w:val="73AE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5AD43992"/>
    <w:multiLevelType w:val="multilevel"/>
    <w:tmpl w:val="ADBA2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B8E271D"/>
    <w:multiLevelType w:val="multilevel"/>
    <w:tmpl w:val="970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6C5F57"/>
    <w:multiLevelType w:val="multilevel"/>
    <w:tmpl w:val="C4266A7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F296C25"/>
    <w:multiLevelType w:val="multilevel"/>
    <w:tmpl w:val="25D0E4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5F45378D"/>
    <w:multiLevelType w:val="multilevel"/>
    <w:tmpl w:val="C3F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F9E758A"/>
    <w:multiLevelType w:val="multilevel"/>
    <w:tmpl w:val="0A7C9B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FE4615"/>
    <w:multiLevelType w:val="multilevel"/>
    <w:tmpl w:val="B324D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9A706F"/>
    <w:multiLevelType w:val="multilevel"/>
    <w:tmpl w:val="56CE7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A9A6459"/>
    <w:multiLevelType w:val="multilevel"/>
    <w:tmpl w:val="09D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AC964DE"/>
    <w:multiLevelType w:val="multilevel"/>
    <w:tmpl w:val="D3167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BDB0A45"/>
    <w:multiLevelType w:val="multilevel"/>
    <w:tmpl w:val="532E6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0F778BA"/>
    <w:multiLevelType w:val="multilevel"/>
    <w:tmpl w:val="7740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27D6CC2"/>
    <w:multiLevelType w:val="multilevel"/>
    <w:tmpl w:val="2090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6847001"/>
    <w:multiLevelType w:val="multilevel"/>
    <w:tmpl w:val="61D23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72C1CD2"/>
    <w:multiLevelType w:val="multilevel"/>
    <w:tmpl w:val="950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8261793"/>
    <w:multiLevelType w:val="multilevel"/>
    <w:tmpl w:val="484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8E530D6"/>
    <w:multiLevelType w:val="multilevel"/>
    <w:tmpl w:val="728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8EB25B0"/>
    <w:multiLevelType w:val="multilevel"/>
    <w:tmpl w:val="03960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79B44F31"/>
    <w:multiLevelType w:val="multilevel"/>
    <w:tmpl w:val="B172E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9DA6791"/>
    <w:multiLevelType w:val="multilevel"/>
    <w:tmpl w:val="C1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A655A55"/>
    <w:multiLevelType w:val="multilevel"/>
    <w:tmpl w:val="608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B757ADA"/>
    <w:multiLevelType w:val="multilevel"/>
    <w:tmpl w:val="A5344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7DAC0F68"/>
    <w:multiLevelType w:val="multilevel"/>
    <w:tmpl w:val="9AD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F344995"/>
    <w:multiLevelType w:val="multilevel"/>
    <w:tmpl w:val="3BC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4"/>
  </w:num>
  <w:num w:numId="3">
    <w:abstractNumId w:val="26"/>
  </w:num>
  <w:num w:numId="4">
    <w:abstractNumId w:val="47"/>
  </w:num>
  <w:num w:numId="5">
    <w:abstractNumId w:val="48"/>
  </w:num>
  <w:num w:numId="6">
    <w:abstractNumId w:val="13"/>
  </w:num>
  <w:num w:numId="7">
    <w:abstractNumId w:val="21"/>
  </w:num>
  <w:num w:numId="8">
    <w:abstractNumId w:val="24"/>
  </w:num>
  <w:num w:numId="9">
    <w:abstractNumId w:val="58"/>
  </w:num>
  <w:num w:numId="10">
    <w:abstractNumId w:val="33"/>
  </w:num>
  <w:num w:numId="11">
    <w:abstractNumId w:val="18"/>
  </w:num>
  <w:num w:numId="12">
    <w:abstractNumId w:val="10"/>
  </w:num>
  <w:num w:numId="13">
    <w:abstractNumId w:val="35"/>
  </w:num>
  <w:num w:numId="14">
    <w:abstractNumId w:val="20"/>
  </w:num>
  <w:num w:numId="15">
    <w:abstractNumId w:val="55"/>
  </w:num>
  <w:num w:numId="16">
    <w:abstractNumId w:val="59"/>
  </w:num>
  <w:num w:numId="17">
    <w:abstractNumId w:val="8"/>
  </w:num>
  <w:num w:numId="18">
    <w:abstractNumId w:val="39"/>
  </w:num>
  <w:num w:numId="19">
    <w:abstractNumId w:val="49"/>
  </w:num>
  <w:num w:numId="20">
    <w:abstractNumId w:val="51"/>
  </w:num>
  <w:num w:numId="21">
    <w:abstractNumId w:val="44"/>
  </w:num>
  <w:num w:numId="22">
    <w:abstractNumId w:val="63"/>
  </w:num>
  <w:num w:numId="23">
    <w:abstractNumId w:val="11"/>
  </w:num>
  <w:num w:numId="24">
    <w:abstractNumId w:val="9"/>
  </w:num>
  <w:num w:numId="25">
    <w:abstractNumId w:val="74"/>
  </w:num>
  <w:num w:numId="26">
    <w:abstractNumId w:val="38"/>
  </w:num>
  <w:num w:numId="27">
    <w:abstractNumId w:val="37"/>
  </w:num>
  <w:num w:numId="28">
    <w:abstractNumId w:val="62"/>
  </w:num>
  <w:num w:numId="29">
    <w:abstractNumId w:val="23"/>
  </w:num>
  <w:num w:numId="30">
    <w:abstractNumId w:val="25"/>
  </w:num>
  <w:num w:numId="31">
    <w:abstractNumId w:val="56"/>
  </w:num>
  <w:num w:numId="32">
    <w:abstractNumId w:val="64"/>
  </w:num>
  <w:num w:numId="33">
    <w:abstractNumId w:val="45"/>
  </w:num>
  <w:num w:numId="34">
    <w:abstractNumId w:val="12"/>
  </w:num>
  <w:num w:numId="35">
    <w:abstractNumId w:val="32"/>
  </w:num>
  <w:num w:numId="36">
    <w:abstractNumId w:val="31"/>
  </w:num>
  <w:num w:numId="37">
    <w:abstractNumId w:val="28"/>
  </w:num>
  <w:num w:numId="38">
    <w:abstractNumId w:val="27"/>
  </w:num>
  <w:num w:numId="39">
    <w:abstractNumId w:val="0"/>
  </w:num>
  <w:num w:numId="40">
    <w:abstractNumId w:val="76"/>
  </w:num>
  <w:num w:numId="41">
    <w:abstractNumId w:val="50"/>
  </w:num>
  <w:num w:numId="42">
    <w:abstractNumId w:val="15"/>
  </w:num>
  <w:num w:numId="43">
    <w:abstractNumId w:val="69"/>
  </w:num>
  <w:num w:numId="44">
    <w:abstractNumId w:val="4"/>
  </w:num>
  <w:num w:numId="45">
    <w:abstractNumId w:val="2"/>
  </w:num>
  <w:num w:numId="46">
    <w:abstractNumId w:val="3"/>
  </w:num>
  <w:num w:numId="47">
    <w:abstractNumId w:val="29"/>
  </w:num>
  <w:num w:numId="48">
    <w:abstractNumId w:val="61"/>
  </w:num>
  <w:num w:numId="49">
    <w:abstractNumId w:val="60"/>
  </w:num>
  <w:num w:numId="50">
    <w:abstractNumId w:val="46"/>
  </w:num>
  <w:num w:numId="51">
    <w:abstractNumId w:val="40"/>
  </w:num>
  <w:num w:numId="52">
    <w:abstractNumId w:val="66"/>
  </w:num>
  <w:num w:numId="53">
    <w:abstractNumId w:val="70"/>
  </w:num>
  <w:num w:numId="54">
    <w:abstractNumId w:val="71"/>
  </w:num>
  <w:num w:numId="55">
    <w:abstractNumId w:val="17"/>
  </w:num>
  <w:num w:numId="56">
    <w:abstractNumId w:val="34"/>
  </w:num>
  <w:num w:numId="57">
    <w:abstractNumId w:val="75"/>
  </w:num>
  <w:num w:numId="58">
    <w:abstractNumId w:val="7"/>
  </w:num>
  <w:num w:numId="59">
    <w:abstractNumId w:val="65"/>
  </w:num>
  <w:num w:numId="60">
    <w:abstractNumId w:val="22"/>
  </w:num>
  <w:num w:numId="61">
    <w:abstractNumId w:val="19"/>
  </w:num>
  <w:num w:numId="62">
    <w:abstractNumId w:val="73"/>
  </w:num>
  <w:num w:numId="63">
    <w:abstractNumId w:val="41"/>
  </w:num>
  <w:num w:numId="64">
    <w:abstractNumId w:val="52"/>
  </w:num>
  <w:num w:numId="65">
    <w:abstractNumId w:val="43"/>
  </w:num>
  <w:num w:numId="66">
    <w:abstractNumId w:val="53"/>
  </w:num>
  <w:num w:numId="67">
    <w:abstractNumId w:val="68"/>
  </w:num>
  <w:num w:numId="68">
    <w:abstractNumId w:val="30"/>
  </w:num>
  <w:num w:numId="69">
    <w:abstractNumId w:val="72"/>
  </w:num>
  <w:num w:numId="70">
    <w:abstractNumId w:val="5"/>
  </w:num>
  <w:num w:numId="71">
    <w:abstractNumId w:val="36"/>
  </w:num>
  <w:num w:numId="72">
    <w:abstractNumId w:val="57"/>
  </w:num>
  <w:num w:numId="73">
    <w:abstractNumId w:val="16"/>
  </w:num>
  <w:num w:numId="74">
    <w:abstractNumId w:val="42"/>
  </w:num>
  <w:num w:numId="75">
    <w:abstractNumId w:val="67"/>
  </w:num>
  <w:num w:numId="76">
    <w:abstractNumId w:val="14"/>
  </w:num>
  <w:num w:numId="77">
    <w:abstractNumId w:val="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A5"/>
    <w:rsid w:val="0000488B"/>
    <w:rsid w:val="00076585"/>
    <w:rsid w:val="0009482C"/>
    <w:rsid w:val="000B27C6"/>
    <w:rsid w:val="000C744B"/>
    <w:rsid w:val="00106BD3"/>
    <w:rsid w:val="001340DC"/>
    <w:rsid w:val="00267C5A"/>
    <w:rsid w:val="003371A2"/>
    <w:rsid w:val="00437004"/>
    <w:rsid w:val="0047672D"/>
    <w:rsid w:val="00482160"/>
    <w:rsid w:val="00497D27"/>
    <w:rsid w:val="004B294A"/>
    <w:rsid w:val="004C7F33"/>
    <w:rsid w:val="004D60F3"/>
    <w:rsid w:val="004F7022"/>
    <w:rsid w:val="005537F5"/>
    <w:rsid w:val="005E2E8C"/>
    <w:rsid w:val="006115DF"/>
    <w:rsid w:val="00631561"/>
    <w:rsid w:val="00645465"/>
    <w:rsid w:val="00657D63"/>
    <w:rsid w:val="0066130C"/>
    <w:rsid w:val="0066510A"/>
    <w:rsid w:val="00673F6C"/>
    <w:rsid w:val="00677692"/>
    <w:rsid w:val="006C3E0C"/>
    <w:rsid w:val="006F6F47"/>
    <w:rsid w:val="007030EB"/>
    <w:rsid w:val="00704BEA"/>
    <w:rsid w:val="007814A5"/>
    <w:rsid w:val="007F4A2B"/>
    <w:rsid w:val="00806A36"/>
    <w:rsid w:val="00861173"/>
    <w:rsid w:val="00920F84"/>
    <w:rsid w:val="00A273AA"/>
    <w:rsid w:val="00A42794"/>
    <w:rsid w:val="00A93629"/>
    <w:rsid w:val="00AA6724"/>
    <w:rsid w:val="00B26D15"/>
    <w:rsid w:val="00B401F5"/>
    <w:rsid w:val="00B44CF7"/>
    <w:rsid w:val="00B74028"/>
    <w:rsid w:val="00BB218D"/>
    <w:rsid w:val="00BE4927"/>
    <w:rsid w:val="00C13CCF"/>
    <w:rsid w:val="00C17189"/>
    <w:rsid w:val="00C23AAE"/>
    <w:rsid w:val="00C44D14"/>
    <w:rsid w:val="00C8416D"/>
    <w:rsid w:val="00CC5457"/>
    <w:rsid w:val="00D331A3"/>
    <w:rsid w:val="00D53BB8"/>
    <w:rsid w:val="00D77168"/>
    <w:rsid w:val="00E87C6E"/>
    <w:rsid w:val="00EB2E46"/>
    <w:rsid w:val="00F21D42"/>
    <w:rsid w:val="00F2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D43"/>
  <w15:chartTrackingRefBased/>
  <w15:docId w15:val="{0CB0E79B-DB21-D74C-9304-2DF5EC0F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4A5"/>
  </w:style>
  <w:style w:type="paragraph" w:styleId="Nadpis1">
    <w:name w:val="heading 1"/>
    <w:basedOn w:val="Normln"/>
    <w:next w:val="Normln"/>
    <w:link w:val="Nadpis1Char"/>
    <w:uiPriority w:val="9"/>
    <w:qFormat/>
    <w:rsid w:val="0078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4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14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14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14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14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14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14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14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14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14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4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8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160"/>
  </w:style>
  <w:style w:type="paragraph" w:styleId="Zpat">
    <w:name w:val="footer"/>
    <w:basedOn w:val="Normln"/>
    <w:link w:val="ZpatChar"/>
    <w:uiPriority w:val="99"/>
    <w:unhideWhenUsed/>
    <w:rsid w:val="0048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160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1F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1148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 Pixacom</dc:creator>
  <cp:keywords/>
  <dc:description/>
  <cp:lastModifiedBy>MACHÁLKOVÁ Markéta, Mgr.</cp:lastModifiedBy>
  <cp:revision>19</cp:revision>
  <cp:lastPrinted>2026-04-02T10:52:00Z</cp:lastPrinted>
  <dcterms:created xsi:type="dcterms:W3CDTF">2026-03-09T05:07:00Z</dcterms:created>
  <dcterms:modified xsi:type="dcterms:W3CDTF">2026-04-02T11:34:00Z</dcterms:modified>
</cp:coreProperties>
</file>